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CC1F7A" w14:textId="358F24E8" w:rsidR="00F27F05" w:rsidRPr="00B9263E" w:rsidRDefault="008D4C10" w:rsidP="00B9263E">
      <w:pPr>
        <w:pStyle w:val="Heading1"/>
      </w:pPr>
      <w:r>
        <w:t>I</w:t>
      </w:r>
      <w:r w:rsidR="00F27F05" w:rsidRPr="00B9263E">
        <w:t>NVITATION TO CO</w:t>
      </w:r>
      <w:r w:rsidR="00B9263E" w:rsidRPr="00B9263E">
        <w:t xml:space="preserve">MMENT ON EFRAG’S ASSESSMENTS </w:t>
      </w:r>
      <w:r w:rsidR="008032C3" w:rsidRPr="00B9263E">
        <w:t xml:space="preserve">ON </w:t>
      </w:r>
      <w:r w:rsidR="00B9263E" w:rsidRPr="00B9263E">
        <w:br/>
      </w:r>
      <w:r w:rsidR="00220629" w:rsidRPr="00220629">
        <w:t xml:space="preserve">IFRS 17 INSURANCE CONTRACTS AS </w:t>
      </w:r>
      <w:r w:rsidR="00FB4D90" w:rsidRPr="00FB4D90">
        <w:t xml:space="preserve">AMENDED IN JUNE 2020 </w:t>
      </w:r>
    </w:p>
    <w:tbl>
      <w:tblPr>
        <w:tblStyle w:val="TableGrid"/>
        <w:tblW w:w="0" w:type="auto"/>
        <w:tblLook w:val="04A0" w:firstRow="1" w:lastRow="0" w:firstColumn="1" w:lastColumn="0" w:noHBand="0" w:noVBand="1"/>
      </w:tblPr>
      <w:tblGrid>
        <w:gridCol w:w="8721"/>
      </w:tblGrid>
      <w:tr w:rsidR="00B9263E" w:rsidRPr="00B9263E" w14:paraId="51CC1F7C" w14:textId="77777777" w:rsidTr="00B9263E">
        <w:tc>
          <w:tcPr>
            <w:tcW w:w="8721" w:type="dxa"/>
          </w:tcPr>
          <w:p w14:paraId="51CC1F7B" w14:textId="44FD4D17" w:rsidR="00B9263E" w:rsidRPr="00B9263E" w:rsidRDefault="000D4CE1" w:rsidP="00092406">
            <w:pPr>
              <w:pStyle w:val="EmphasisCentredBox"/>
              <w:jc w:val="both"/>
            </w:pPr>
            <w:bookmarkStart w:id="0" w:name="_Hlk532307243"/>
            <w:r w:rsidRPr="7A64488D">
              <w:rPr>
                <w:lang w:val="en-US" w:eastAsia="zh-TW"/>
              </w:rPr>
              <w:t xml:space="preserve">Once filled in, this form should be submitted by </w:t>
            </w:r>
            <w:r w:rsidR="00FF5D26">
              <w:rPr>
                <w:lang w:val="en-US" w:eastAsia="zh-TW"/>
              </w:rPr>
              <w:t>29</w:t>
            </w:r>
            <w:r w:rsidR="3E63777D" w:rsidRPr="7A64488D">
              <w:rPr>
                <w:lang w:val="en-US" w:eastAsia="zh-TW"/>
              </w:rPr>
              <w:t xml:space="preserve"> January 2021 </w:t>
            </w:r>
            <w:r w:rsidRPr="7A64488D">
              <w:rPr>
                <w:lang w:val="en-US" w:eastAsia="zh-TW"/>
              </w:rPr>
              <w:t xml:space="preserve">using the ‘Comment publication link’ available at the bottom of the </w:t>
            </w:r>
            <w:r w:rsidR="00977AE7" w:rsidRPr="7A64488D">
              <w:rPr>
                <w:lang w:val="en-US" w:eastAsia="zh-TW"/>
              </w:rPr>
              <w:t xml:space="preserve">respective </w:t>
            </w:r>
            <w:r w:rsidRPr="7A64488D">
              <w:rPr>
                <w:lang w:val="en-US" w:eastAsia="zh-TW"/>
              </w:rPr>
              <w:t xml:space="preserve">news item. All open consultations can be found on EFRAG’s web site: </w:t>
            </w:r>
            <w:hyperlink r:id="rId11" w:history="1">
              <w:r w:rsidRPr="7A64488D">
                <w:rPr>
                  <w:rStyle w:val="Hyperlink"/>
                  <w:lang w:val="en-US" w:eastAsia="zh-TW"/>
                </w:rPr>
                <w:t>Open consultations: express your views</w:t>
              </w:r>
            </w:hyperlink>
            <w:r w:rsidRPr="7A64488D">
              <w:rPr>
                <w:lang w:val="en-US" w:eastAsia="zh-TW"/>
              </w:rPr>
              <w:t>.</w:t>
            </w:r>
          </w:p>
        </w:tc>
      </w:tr>
    </w:tbl>
    <w:bookmarkEnd w:id="0"/>
    <w:p w14:paraId="51CC1F7D" w14:textId="000032F7" w:rsidR="00F27F05" w:rsidRDefault="00F27F05" w:rsidP="009D5BD1">
      <w:pPr>
        <w:pStyle w:val="Bodyparagraph"/>
      </w:pPr>
      <w:r w:rsidRPr="001633F6">
        <w:t>EFRAG has been asked by the European Commission to provide it with advice and supporting material on</w:t>
      </w:r>
      <w:r w:rsidR="00A742F6">
        <w:t xml:space="preserve"> </w:t>
      </w:r>
      <w:r w:rsidR="00A742F6" w:rsidRPr="00A742F6">
        <w:t xml:space="preserve">IFRS 17 </w:t>
      </w:r>
      <w:r w:rsidR="00A742F6" w:rsidRPr="00A742F6">
        <w:rPr>
          <w:i/>
          <w:iCs/>
        </w:rPr>
        <w:t>Insurance Contracts</w:t>
      </w:r>
      <w:r w:rsidR="00A742F6" w:rsidRPr="00A742F6">
        <w:t xml:space="preserve"> as </w:t>
      </w:r>
      <w:r w:rsidR="001928F4">
        <w:t>amended in</w:t>
      </w:r>
      <w:r w:rsidR="00A742F6" w:rsidRPr="00A742F6">
        <w:t xml:space="preserve"> June 2020</w:t>
      </w:r>
      <w:r w:rsidR="00534042">
        <w:t xml:space="preserve"> </w:t>
      </w:r>
      <w:r w:rsidR="00A17154" w:rsidRPr="00385673">
        <w:t>(‘</w:t>
      </w:r>
      <w:r w:rsidR="00A742F6">
        <w:t>IFRS 17</w:t>
      </w:r>
      <w:r w:rsidR="00B17493">
        <w:t>’ or ‘the Standard’)</w:t>
      </w:r>
      <w:r w:rsidR="00A17154" w:rsidRPr="00215F51">
        <w:t>.</w:t>
      </w:r>
      <w:r w:rsidRPr="001633F6">
        <w:rPr>
          <w:i/>
        </w:rPr>
        <w:t xml:space="preserve"> </w:t>
      </w:r>
      <w:r w:rsidRPr="001633F6">
        <w:t xml:space="preserve">In order to do </w:t>
      </w:r>
      <w:r w:rsidR="00674C1A">
        <w:t>so</w:t>
      </w:r>
      <w:r w:rsidRPr="001633F6">
        <w:t xml:space="preserve">, EFRAG has been carrying out an assessment of </w:t>
      </w:r>
      <w:r w:rsidR="00B17493">
        <w:t>IFRS</w:t>
      </w:r>
      <w:r w:rsidR="001928F4">
        <w:t> </w:t>
      </w:r>
      <w:r w:rsidR="00B17493">
        <w:t>17</w:t>
      </w:r>
      <w:r w:rsidRPr="001633F6">
        <w:t xml:space="preserve"> against the technical criteria for endorsement set out in </w:t>
      </w:r>
      <w:r w:rsidRPr="00897B21">
        <w:t>Regulation</w:t>
      </w:r>
      <w:r w:rsidRPr="001633F6">
        <w:t xml:space="preserve"> (EC) No 1606/2002 and has also been assessing the costs and benefits that would arise from its implementation in the European Union (the </w:t>
      </w:r>
      <w:r w:rsidRPr="003E454A">
        <w:t>EU</w:t>
      </w:r>
      <w:r w:rsidRPr="001633F6">
        <w:t>) and European Economic Area.</w:t>
      </w:r>
    </w:p>
    <w:p w14:paraId="51CC1F7E" w14:textId="1C7463B8" w:rsidR="00F27F05" w:rsidRDefault="00F27F05" w:rsidP="009D5BD1">
      <w:pPr>
        <w:pStyle w:val="Bodyparagraph"/>
      </w:pPr>
      <w:r w:rsidRPr="007232BF">
        <w:t xml:space="preserve">A summary of </w:t>
      </w:r>
      <w:r w:rsidR="00E25907">
        <w:t>IFRS 17</w:t>
      </w:r>
      <w:r w:rsidRPr="007232BF">
        <w:t xml:space="preserve"> is set out in Appendix </w:t>
      </w:r>
      <w:r w:rsidR="00F5793E">
        <w:t>I</w:t>
      </w:r>
      <w:r w:rsidRPr="007232BF">
        <w:t>.</w:t>
      </w:r>
    </w:p>
    <w:p w14:paraId="51CC1F7F" w14:textId="382240FE" w:rsidR="005C42F2" w:rsidRPr="00D47D27" w:rsidRDefault="005C42F2" w:rsidP="009D5BD1">
      <w:pPr>
        <w:pStyle w:val="Bodyparagraph"/>
      </w:pPr>
      <w:r w:rsidRPr="00D47D27">
        <w:t xml:space="preserve">Before finalising its assessment, EFRAG would welcome your views on the issues set out below. Please note that all responses received will be placed on the public </w:t>
      </w:r>
      <w:proofErr w:type="gramStart"/>
      <w:r w:rsidRPr="00D47D27">
        <w:t>record</w:t>
      </w:r>
      <w:r w:rsidR="00DD74FF" w:rsidRPr="00D47D27">
        <w:t>,</w:t>
      </w:r>
      <w:r w:rsidR="00DD74FF">
        <w:t xml:space="preserve"> </w:t>
      </w:r>
      <w:r w:rsidR="00DD74FF" w:rsidRPr="00D47D27">
        <w:t>unless</w:t>
      </w:r>
      <w:proofErr w:type="gramEnd"/>
      <w:r w:rsidRPr="00D47D27">
        <w:t xml:space="preserve"> the respondent requests confidentiality. In the interest</w:t>
      </w:r>
      <w:r w:rsidR="00887868">
        <w:t>s</w:t>
      </w:r>
      <w:r w:rsidRPr="00D47D27">
        <w:t xml:space="preserve"> of transparency</w:t>
      </w:r>
      <w:r w:rsidR="00887868">
        <w:t>,</w:t>
      </w:r>
      <w:r w:rsidRPr="00D47D27">
        <w:t xml:space="preserve"> EFRAG will wish to discuss the responses it receives in a public meeting, so </w:t>
      </w:r>
      <w:r w:rsidR="00887868">
        <w:t>it is preferable</w:t>
      </w:r>
      <w:r w:rsidRPr="00D47D27">
        <w:t xml:space="preserve"> </w:t>
      </w:r>
      <w:r w:rsidR="00802974">
        <w:t>that all</w:t>
      </w:r>
      <w:r w:rsidR="00FB73B0">
        <w:t xml:space="preserve"> </w:t>
      </w:r>
      <w:r w:rsidRPr="00D47D27">
        <w:t xml:space="preserve">responses </w:t>
      </w:r>
      <w:r w:rsidR="00802974">
        <w:t>can be published.</w:t>
      </w:r>
      <w:r w:rsidRPr="00D47D27">
        <w:t xml:space="preserve"> </w:t>
      </w:r>
    </w:p>
    <w:tbl>
      <w:tblPr>
        <w:tblStyle w:val="TableGrid"/>
        <w:tblW w:w="0" w:type="auto"/>
        <w:tblLook w:val="04A0" w:firstRow="1" w:lastRow="0" w:firstColumn="1" w:lastColumn="0" w:noHBand="0" w:noVBand="1"/>
      </w:tblPr>
      <w:tblGrid>
        <w:gridCol w:w="8721"/>
      </w:tblGrid>
      <w:tr w:rsidR="0038694A" w14:paraId="51CC1F81" w14:textId="77777777" w:rsidTr="005C42F2">
        <w:tc>
          <w:tcPr>
            <w:tcW w:w="8721" w:type="dxa"/>
          </w:tcPr>
          <w:p w14:paraId="4E4E1B20" w14:textId="0034ED4F" w:rsidR="003C164F" w:rsidRDefault="00F83715" w:rsidP="00A65739">
            <w:pPr>
              <w:pStyle w:val="EmphasisBox"/>
              <w:jc w:val="both"/>
            </w:pPr>
            <w:r>
              <w:t xml:space="preserve">In order to facilitate the </w:t>
            </w:r>
            <w:r w:rsidR="00B229B9">
              <w:t>EFRAG</w:t>
            </w:r>
            <w:r>
              <w:t xml:space="preserve"> </w:t>
            </w:r>
            <w:r w:rsidR="00A03D84">
              <w:t>process, it is strongly recommended to use the structure below in your responses</w:t>
            </w:r>
            <w:r w:rsidR="00654A0D">
              <w:t>.</w:t>
            </w:r>
          </w:p>
          <w:p w14:paraId="59F17A46" w14:textId="77777777" w:rsidR="003C164F" w:rsidRDefault="003C164F" w:rsidP="00A65739">
            <w:pPr>
              <w:pStyle w:val="EmphasisBox"/>
              <w:jc w:val="both"/>
            </w:pPr>
          </w:p>
          <w:p w14:paraId="51CC1F80" w14:textId="257378E4" w:rsidR="0038694A" w:rsidRDefault="0038694A" w:rsidP="00A65739">
            <w:pPr>
              <w:pStyle w:val="EmphasisBox"/>
              <w:jc w:val="both"/>
            </w:pPr>
            <w:r w:rsidRPr="00715A3E">
              <w:t>EFRAG</w:t>
            </w:r>
            <w:r w:rsidR="00887868">
              <w:t>’s</w:t>
            </w:r>
            <w:r w:rsidRPr="00715A3E">
              <w:t xml:space="preserve"> initial assessments</w:t>
            </w:r>
            <w:r w:rsidR="006F32C6">
              <w:t>,</w:t>
            </w:r>
            <w:r w:rsidRPr="00715A3E">
              <w:t xml:space="preserve"> summarised in this questionnaire</w:t>
            </w:r>
            <w:r w:rsidR="006F32C6">
              <w:t>,</w:t>
            </w:r>
            <w:r w:rsidRPr="00715A3E">
              <w:t xml:space="preserve"> will be </w:t>
            </w:r>
            <w:r w:rsidR="006F32C6">
              <w:t xml:space="preserve">updated for comments received from constituents when EFRAG is in the process of finalising its </w:t>
            </w:r>
            <w:r w:rsidR="00887868" w:rsidRPr="00FB73B0">
              <w:rPr>
                <w:i/>
              </w:rPr>
              <w:t xml:space="preserve">Letter </w:t>
            </w:r>
            <w:r w:rsidR="008973FC" w:rsidRPr="00FB73B0">
              <w:rPr>
                <w:i/>
              </w:rPr>
              <w:t>to the European Commission</w:t>
            </w:r>
            <w:r w:rsidR="008973FC" w:rsidRPr="008973FC">
              <w:t xml:space="preserve"> regarding endorsement </w:t>
            </w:r>
            <w:r w:rsidR="00A65739">
              <w:t>IFRS 17</w:t>
            </w:r>
            <w:r w:rsidR="008973FC">
              <w:t>.</w:t>
            </w:r>
          </w:p>
        </w:tc>
      </w:tr>
    </w:tbl>
    <w:p w14:paraId="51CC1F82" w14:textId="77777777" w:rsidR="008352DF" w:rsidRDefault="008352DF" w:rsidP="008352DF">
      <w:pPr>
        <w:pStyle w:val="Heading2"/>
      </w:pPr>
      <w:r>
        <w:t>Your details</w:t>
      </w:r>
    </w:p>
    <w:p w14:paraId="51CC1F83" w14:textId="77777777" w:rsidR="00965C73" w:rsidRPr="00715A3E" w:rsidRDefault="00965C73" w:rsidP="009D5BD1">
      <w:pPr>
        <w:pStyle w:val="Normalnumberedlevel1"/>
      </w:pPr>
      <w:r w:rsidRPr="00715A3E">
        <w:t>Please provide the following details</w:t>
      </w:r>
      <w:r w:rsidR="00887868">
        <w:t>:</w:t>
      </w:r>
    </w:p>
    <w:p w14:paraId="51CC1F84" w14:textId="77777777" w:rsidR="00BC4E31" w:rsidRPr="00715A3E" w:rsidRDefault="00965C73" w:rsidP="009D5BD1">
      <w:pPr>
        <w:pStyle w:val="Normalnumberedlevel2"/>
      </w:pPr>
      <w:r w:rsidRPr="00715A3E">
        <w:t xml:space="preserve">Your </w:t>
      </w:r>
      <w:r w:rsidRPr="00715964">
        <w:t>name</w:t>
      </w:r>
      <w:r w:rsidRPr="00715A3E">
        <w:t xml:space="preserve"> or, if you are responding on behalf of an organisation or company,</w:t>
      </w:r>
      <w:r w:rsidR="009328B0" w:rsidRPr="00715A3E">
        <w:t xml:space="preserve"> </w:t>
      </w:r>
      <w:r w:rsidRPr="00715A3E">
        <w:t>its name:</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86" w14:textId="77777777" w:rsidTr="00EC676B">
        <w:trPr>
          <w:trHeight w:val="499"/>
        </w:trPr>
        <w:tc>
          <w:tcPr>
            <w:tcW w:w="7602" w:type="dxa"/>
          </w:tcPr>
          <w:p w14:paraId="51CC1F85" w14:textId="77777777" w:rsidR="009D5BD1" w:rsidRPr="00715A3E" w:rsidRDefault="009D5BD1" w:rsidP="009D5BD1">
            <w:pPr>
              <w:pStyle w:val="Bodyparagraph"/>
            </w:pPr>
          </w:p>
        </w:tc>
      </w:tr>
    </w:tbl>
    <w:p w14:paraId="51CC1F87" w14:textId="77777777" w:rsidR="00965C73" w:rsidRPr="00715A3E" w:rsidRDefault="00965C73" w:rsidP="009D5BD1">
      <w:pPr>
        <w:pStyle w:val="Normalnumberedlevel2"/>
      </w:pPr>
      <w:r w:rsidRPr="00715A3E">
        <w:t>Are you a:</w:t>
      </w:r>
    </w:p>
    <w:p w14:paraId="51CC1F88" w14:textId="77777777" w:rsidR="00965C73" w:rsidRPr="00715A3E" w:rsidRDefault="003B2867" w:rsidP="009D5BD1">
      <w:pPr>
        <w:pStyle w:val="Normaldenumblevel2"/>
      </w:pPr>
      <w:r w:rsidRPr="00715A3E">
        <w:fldChar w:fldCharType="begin">
          <w:ffData>
            <w:name w:val="Kontrollkästchen1"/>
            <w:enabled/>
            <w:calcOnExit w:val="0"/>
            <w:checkBox>
              <w:sizeAuto/>
              <w:default w:val="0"/>
              <w:checked w:val="0"/>
            </w:checkBox>
          </w:ffData>
        </w:fldChar>
      </w:r>
      <w:bookmarkStart w:id="1" w:name="Kontrollkästchen1"/>
      <w:r w:rsidR="00965C73" w:rsidRPr="00715A3E">
        <w:instrText xml:space="preserve"> FORMCHECKBOX </w:instrText>
      </w:r>
      <w:r w:rsidR="00525493">
        <w:fldChar w:fldCharType="separate"/>
      </w:r>
      <w:r w:rsidRPr="00715A3E">
        <w:fldChar w:fldCharType="end"/>
      </w:r>
      <w:bookmarkEnd w:id="1"/>
      <w:r w:rsidR="00965C73" w:rsidRPr="00715A3E">
        <w:t xml:space="preserve"> Preparer</w:t>
      </w:r>
      <w:r w:rsidR="00DB62D0">
        <w:t xml:space="preserve"> </w:t>
      </w:r>
      <w:r w:rsidRPr="00715A3E">
        <w:fldChar w:fldCharType="begin">
          <w:ffData>
            <w:name w:val="Kontrollkästchen2"/>
            <w:enabled/>
            <w:calcOnExit w:val="0"/>
            <w:checkBox>
              <w:sizeAuto/>
              <w:default w:val="0"/>
              <w:checked w:val="0"/>
            </w:checkBox>
          </w:ffData>
        </w:fldChar>
      </w:r>
      <w:bookmarkStart w:id="2" w:name="Kontrollkästchen2"/>
      <w:r w:rsidR="00965C73" w:rsidRPr="00715A3E">
        <w:instrText xml:space="preserve"> FORMCHECKBOX </w:instrText>
      </w:r>
      <w:r w:rsidR="00525493">
        <w:fldChar w:fldCharType="separate"/>
      </w:r>
      <w:r w:rsidRPr="00715A3E">
        <w:fldChar w:fldCharType="end"/>
      </w:r>
      <w:bookmarkEnd w:id="2"/>
      <w:r w:rsidR="00965C73" w:rsidRPr="00715A3E">
        <w:t xml:space="preserve"> User</w:t>
      </w:r>
      <w:r w:rsidR="00DB62D0">
        <w:t xml:space="preserve"> </w:t>
      </w:r>
      <w:r w:rsidR="00302609">
        <w:fldChar w:fldCharType="begin">
          <w:ffData>
            <w:name w:val="Kontrollkästchen3"/>
            <w:enabled/>
            <w:calcOnExit w:val="0"/>
            <w:checkBox>
              <w:sizeAuto/>
              <w:default w:val="0"/>
            </w:checkBox>
          </w:ffData>
        </w:fldChar>
      </w:r>
      <w:bookmarkStart w:id="3" w:name="Kontrollkästchen3"/>
      <w:r w:rsidR="00302609">
        <w:instrText xml:space="preserve"> FORMCHECKBOX </w:instrText>
      </w:r>
      <w:r w:rsidR="00525493">
        <w:fldChar w:fldCharType="separate"/>
      </w:r>
      <w:r w:rsidR="00302609">
        <w:fldChar w:fldCharType="end"/>
      </w:r>
      <w:bookmarkEnd w:id="3"/>
      <w:r w:rsidR="00965C73" w:rsidRPr="00715A3E">
        <w:t xml:space="preserve"> Other (please specify) </w:t>
      </w:r>
    </w:p>
    <w:tbl>
      <w:tblPr>
        <w:tblW w:w="0" w:type="auto"/>
        <w:tblInd w:w="1129" w:type="dxa"/>
        <w:tblBorders>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592"/>
      </w:tblGrid>
      <w:tr w:rsidR="00965C73" w:rsidRPr="00715A3E" w14:paraId="51CC1F8A" w14:textId="77777777" w:rsidTr="009D5BD1">
        <w:tc>
          <w:tcPr>
            <w:tcW w:w="7602" w:type="dxa"/>
            <w:tcBorders>
              <w:top w:val="single" w:sz="4" w:space="0" w:color="auto"/>
              <w:left w:val="single" w:sz="4" w:space="0" w:color="auto"/>
              <w:bottom w:val="single" w:sz="4" w:space="0" w:color="auto"/>
              <w:right w:val="single" w:sz="4" w:space="0" w:color="auto"/>
            </w:tcBorders>
          </w:tcPr>
          <w:p w14:paraId="51CC1F89" w14:textId="77777777" w:rsidR="00965C73" w:rsidRPr="00715A3E" w:rsidRDefault="00965C73" w:rsidP="009D5BD1">
            <w:pPr>
              <w:pStyle w:val="Bodyparagraph"/>
            </w:pPr>
          </w:p>
        </w:tc>
      </w:tr>
    </w:tbl>
    <w:p w14:paraId="51CC1F8B" w14:textId="77777777" w:rsidR="00965C73" w:rsidRPr="00715A3E" w:rsidRDefault="00965C73" w:rsidP="009D5BD1">
      <w:pPr>
        <w:pStyle w:val="Normalnumberedlevel2"/>
      </w:pPr>
      <w:r w:rsidRPr="00715A3E">
        <w:t>Please provide a short description of your activity:</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8D" w14:textId="77777777" w:rsidTr="00EC676B">
        <w:trPr>
          <w:trHeight w:val="564"/>
        </w:trPr>
        <w:tc>
          <w:tcPr>
            <w:tcW w:w="7602" w:type="dxa"/>
          </w:tcPr>
          <w:p w14:paraId="51CC1F8C" w14:textId="77777777" w:rsidR="009D5BD1" w:rsidRPr="00715A3E" w:rsidRDefault="009D5BD1" w:rsidP="009D5BD1">
            <w:pPr>
              <w:pStyle w:val="Bodyparagraph"/>
            </w:pPr>
          </w:p>
        </w:tc>
      </w:tr>
    </w:tbl>
    <w:p w14:paraId="51CC1F8E" w14:textId="77777777" w:rsidR="00BC4E31" w:rsidRPr="00715A3E" w:rsidRDefault="00965C73" w:rsidP="009D5BD1">
      <w:pPr>
        <w:pStyle w:val="Normalnumberedlevel2"/>
      </w:pPr>
      <w:r w:rsidRPr="00715A3E">
        <w:t>Country where you</w:t>
      </w:r>
      <w:r w:rsidR="009B5B4A">
        <w:t xml:space="preserve"> are </w:t>
      </w:r>
      <w:r w:rsidRPr="00715A3E">
        <w:t xml:space="preserve">located: </w:t>
      </w:r>
    </w:p>
    <w:tbl>
      <w:tblPr>
        <w:tblW w:w="0" w:type="auto"/>
        <w:tblInd w:w="1129" w:type="dxa"/>
        <w:tblBorders>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592"/>
      </w:tblGrid>
      <w:tr w:rsidR="00965C73" w:rsidRPr="00715A3E" w14:paraId="51CC1F90" w14:textId="77777777" w:rsidTr="009D5BD1">
        <w:tc>
          <w:tcPr>
            <w:tcW w:w="7602" w:type="dxa"/>
            <w:tcBorders>
              <w:top w:val="single" w:sz="4" w:space="0" w:color="auto"/>
              <w:left w:val="single" w:sz="4" w:space="0" w:color="auto"/>
              <w:bottom w:val="single" w:sz="4" w:space="0" w:color="auto"/>
              <w:right w:val="single" w:sz="4" w:space="0" w:color="auto"/>
            </w:tcBorders>
          </w:tcPr>
          <w:p w14:paraId="51CC1F8F" w14:textId="77777777" w:rsidR="00965C73" w:rsidRPr="00715A3E" w:rsidRDefault="00965C73" w:rsidP="009D5BD1">
            <w:pPr>
              <w:pStyle w:val="Bodyparagraph"/>
            </w:pPr>
          </w:p>
        </w:tc>
      </w:tr>
    </w:tbl>
    <w:p w14:paraId="166D14D7" w14:textId="77777777" w:rsidR="00D409B5" w:rsidRDefault="00D409B5" w:rsidP="00D409B5">
      <w:pPr>
        <w:pStyle w:val="Normalnumberedlevel2"/>
        <w:numPr>
          <w:ilvl w:val="0"/>
          <w:numId w:val="0"/>
        </w:numPr>
        <w:ind w:left="1134"/>
      </w:pPr>
    </w:p>
    <w:p w14:paraId="51CC1F91" w14:textId="77777777" w:rsidR="00BC4E31" w:rsidRPr="00715A3E" w:rsidRDefault="00965C73" w:rsidP="009D5BD1">
      <w:pPr>
        <w:pStyle w:val="Normalnumberedlevel2"/>
      </w:pPr>
      <w:r w:rsidRPr="00715A3E">
        <w:lastRenderedPageBreak/>
        <w:t>C</w:t>
      </w:r>
      <w:r w:rsidR="00957138">
        <w:t>o</w:t>
      </w:r>
      <w:r w:rsidRPr="00715A3E">
        <w:t>ntact details</w:t>
      </w:r>
      <w:r w:rsidR="00887868">
        <w:t>,</w:t>
      </w:r>
      <w:r w:rsidRPr="00715A3E">
        <w:t xml:space="preserve"> including e-mail address:</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93" w14:textId="77777777" w:rsidTr="00EC676B">
        <w:trPr>
          <w:trHeight w:val="596"/>
        </w:trPr>
        <w:tc>
          <w:tcPr>
            <w:tcW w:w="7602" w:type="dxa"/>
          </w:tcPr>
          <w:p w14:paraId="51CC1F92" w14:textId="77777777" w:rsidR="009D5BD1" w:rsidRPr="00715A3E" w:rsidRDefault="009D5BD1" w:rsidP="009D5BD1">
            <w:pPr>
              <w:pStyle w:val="Bodyparagraph"/>
            </w:pPr>
          </w:p>
        </w:tc>
      </w:tr>
    </w:tbl>
    <w:p w14:paraId="601C20E9" w14:textId="21BBCEFE" w:rsidR="005A12D2" w:rsidRDefault="0037377E" w:rsidP="002325A4">
      <w:pPr>
        <w:pStyle w:val="Heading2"/>
        <w:jc w:val="both"/>
      </w:pPr>
      <w:r>
        <w:t xml:space="preserve">Part I: </w:t>
      </w:r>
      <w:r w:rsidR="008352DF">
        <w:t>EFRAG’s initial assessment with respect to the technical criteria for endorsement</w:t>
      </w:r>
    </w:p>
    <w:p w14:paraId="5B33EB21" w14:textId="2AA94043" w:rsidR="00104173" w:rsidRPr="00D93BAD" w:rsidRDefault="000A04B7" w:rsidP="00A9356F">
      <w:pPr>
        <w:pStyle w:val="Normalnumberedlevel1"/>
        <w:numPr>
          <w:ilvl w:val="0"/>
          <w:numId w:val="0"/>
        </w:numPr>
        <w:rPr>
          <w:i/>
          <w:iCs/>
        </w:rPr>
      </w:pPr>
      <w:r w:rsidRPr="00294867">
        <w:rPr>
          <w:b/>
          <w:bCs/>
        </w:rPr>
        <w:t>Note to the respondents:</w:t>
      </w:r>
      <w:r w:rsidRPr="00BC0BE1">
        <w:t xml:space="preserve"> </w:t>
      </w:r>
      <w:r w:rsidR="00BA2C19" w:rsidRPr="00D93BAD">
        <w:rPr>
          <w:i/>
          <w:iCs/>
        </w:rPr>
        <w:t xml:space="preserve">Appendix II presents </w:t>
      </w:r>
      <w:r w:rsidRPr="00D93BAD">
        <w:rPr>
          <w:i/>
          <w:iCs/>
        </w:rPr>
        <w:t>EFRAG</w:t>
      </w:r>
      <w:r w:rsidR="004C43B6" w:rsidRPr="00D93BAD">
        <w:rPr>
          <w:i/>
          <w:iCs/>
        </w:rPr>
        <w:t>’s</w:t>
      </w:r>
      <w:r w:rsidRPr="00D93BAD">
        <w:rPr>
          <w:i/>
          <w:iCs/>
        </w:rPr>
        <w:t xml:space="preserve"> </w:t>
      </w:r>
      <w:r w:rsidR="007949DC" w:rsidRPr="00D93BAD">
        <w:rPr>
          <w:i/>
          <w:iCs/>
        </w:rPr>
        <w:t xml:space="preserve">reasoning with reference to all requirements </w:t>
      </w:r>
      <w:r w:rsidR="00562270" w:rsidRPr="00D93BAD">
        <w:rPr>
          <w:i/>
          <w:iCs/>
        </w:rPr>
        <w:t>in</w:t>
      </w:r>
      <w:r w:rsidR="007949DC" w:rsidRPr="00D93BAD">
        <w:rPr>
          <w:i/>
          <w:iCs/>
        </w:rPr>
        <w:t xml:space="preserve"> IFRS 17 apart </w:t>
      </w:r>
      <w:r w:rsidR="00D82A6E">
        <w:rPr>
          <w:i/>
        </w:rPr>
        <w:t>from</w:t>
      </w:r>
      <w:r w:rsidR="00D82A6E" w:rsidRPr="00D93BAD">
        <w:rPr>
          <w:i/>
        </w:rPr>
        <w:t xml:space="preserve"> </w:t>
      </w:r>
      <w:r w:rsidR="00010A23" w:rsidRPr="00D93BAD">
        <w:rPr>
          <w:i/>
          <w:iCs/>
        </w:rPr>
        <w:t xml:space="preserve">the </w:t>
      </w:r>
      <w:r w:rsidR="0031382A" w:rsidRPr="00D93BAD">
        <w:rPr>
          <w:i/>
          <w:iCs/>
        </w:rPr>
        <w:t>application of the annual cohort</w:t>
      </w:r>
      <w:r w:rsidR="000A2A80" w:rsidRPr="00D93BAD">
        <w:rPr>
          <w:i/>
          <w:iCs/>
        </w:rPr>
        <w:t>s</w:t>
      </w:r>
      <w:r w:rsidR="0031382A" w:rsidRPr="00D93BAD">
        <w:rPr>
          <w:i/>
          <w:iCs/>
        </w:rPr>
        <w:t xml:space="preserve"> requirement </w:t>
      </w:r>
      <w:r w:rsidR="00832B93" w:rsidRPr="00D93BAD">
        <w:rPr>
          <w:i/>
          <w:iCs/>
        </w:rPr>
        <w:t xml:space="preserve">to </w:t>
      </w:r>
      <w:r w:rsidR="00FA4580" w:rsidRPr="00D93BAD">
        <w:rPr>
          <w:i/>
          <w:iCs/>
        </w:rPr>
        <w:t xml:space="preserve">some contracts </w:t>
      </w:r>
      <w:r w:rsidR="00AC0069" w:rsidRPr="00D93BAD">
        <w:rPr>
          <w:i/>
          <w:iCs/>
        </w:rPr>
        <w:t>specified</w:t>
      </w:r>
      <w:r w:rsidR="00FA4580" w:rsidRPr="00D93BAD">
        <w:rPr>
          <w:i/>
          <w:iCs/>
        </w:rPr>
        <w:t xml:space="preserve"> in </w:t>
      </w:r>
      <w:r w:rsidR="00F4092C" w:rsidRPr="00D93BAD">
        <w:rPr>
          <w:i/>
          <w:iCs/>
        </w:rPr>
        <w:t xml:space="preserve">paragraph 6 of </w:t>
      </w:r>
      <w:r w:rsidR="00FA4580" w:rsidRPr="00D93BAD">
        <w:rPr>
          <w:i/>
          <w:iCs/>
        </w:rPr>
        <w:t xml:space="preserve">Annex A </w:t>
      </w:r>
      <w:r w:rsidR="00CB05C4" w:rsidRPr="00D93BAD">
        <w:rPr>
          <w:i/>
          <w:iCs/>
        </w:rPr>
        <w:t>within</w:t>
      </w:r>
      <w:r w:rsidR="00FA4580" w:rsidRPr="00D93BAD">
        <w:rPr>
          <w:i/>
          <w:iCs/>
        </w:rPr>
        <w:t xml:space="preserve"> Annex 1 </w:t>
      </w:r>
      <w:r w:rsidR="00642DB5" w:rsidRPr="00D93BAD">
        <w:rPr>
          <w:i/>
          <w:iCs/>
        </w:rPr>
        <w:t xml:space="preserve">(those contracts are conventionally </w:t>
      </w:r>
      <w:r w:rsidR="00351742" w:rsidRPr="00D93BAD">
        <w:rPr>
          <w:i/>
          <w:iCs/>
        </w:rPr>
        <w:t xml:space="preserve">referred to in </w:t>
      </w:r>
      <w:r w:rsidR="00F64B33" w:rsidRPr="00D93BAD">
        <w:rPr>
          <w:i/>
          <w:iCs/>
        </w:rPr>
        <w:t xml:space="preserve">this questionnaire, </w:t>
      </w:r>
      <w:r w:rsidR="00351742" w:rsidRPr="00D93BAD">
        <w:rPr>
          <w:i/>
          <w:iCs/>
        </w:rPr>
        <w:t xml:space="preserve">in the </w:t>
      </w:r>
      <w:r w:rsidR="00A8217F" w:rsidRPr="00D93BAD">
        <w:rPr>
          <w:i/>
          <w:iCs/>
        </w:rPr>
        <w:t>C</w:t>
      </w:r>
      <w:r w:rsidR="00351742" w:rsidRPr="00D93BAD">
        <w:rPr>
          <w:i/>
          <w:iCs/>
        </w:rPr>
        <w:t xml:space="preserve">over </w:t>
      </w:r>
      <w:r w:rsidR="00A8217F" w:rsidRPr="00D93BAD">
        <w:rPr>
          <w:i/>
          <w:iCs/>
        </w:rPr>
        <w:t>L</w:t>
      </w:r>
      <w:r w:rsidR="00351742" w:rsidRPr="00D93BAD">
        <w:rPr>
          <w:i/>
          <w:iCs/>
        </w:rPr>
        <w:t>etter</w:t>
      </w:r>
      <w:r w:rsidR="00A8217F" w:rsidRPr="00D93BAD">
        <w:rPr>
          <w:i/>
          <w:iCs/>
        </w:rPr>
        <w:t>, in its Appendices and Annex as</w:t>
      </w:r>
      <w:r w:rsidR="00642DB5" w:rsidRPr="00D93BAD">
        <w:rPr>
          <w:i/>
          <w:iCs/>
        </w:rPr>
        <w:t xml:space="preserve"> </w:t>
      </w:r>
      <w:r w:rsidR="003109D9" w:rsidRPr="00D93BAD">
        <w:rPr>
          <w:i/>
          <w:iCs/>
        </w:rPr>
        <w:t>‘</w:t>
      </w:r>
      <w:r w:rsidR="00FD12FF" w:rsidRPr="00D93BAD">
        <w:rPr>
          <w:i/>
          <w:iCs/>
        </w:rPr>
        <w:t xml:space="preserve">contracts with </w:t>
      </w:r>
      <w:r w:rsidR="00010A23" w:rsidRPr="00D93BAD">
        <w:rPr>
          <w:i/>
          <w:iCs/>
        </w:rPr>
        <w:t>intergenerationally mutualis</w:t>
      </w:r>
      <w:r w:rsidR="005544B9" w:rsidRPr="00D93BAD">
        <w:rPr>
          <w:i/>
          <w:iCs/>
        </w:rPr>
        <w:t>ation</w:t>
      </w:r>
      <w:r w:rsidR="00010A23" w:rsidRPr="00D93BAD">
        <w:rPr>
          <w:i/>
          <w:iCs/>
        </w:rPr>
        <w:t xml:space="preserve"> and cash</w:t>
      </w:r>
      <w:r w:rsidR="00FA4D12" w:rsidRPr="00D93BAD">
        <w:rPr>
          <w:i/>
          <w:iCs/>
        </w:rPr>
        <w:t>-</w:t>
      </w:r>
      <w:r w:rsidR="00010A23" w:rsidRPr="00D93BAD">
        <w:rPr>
          <w:i/>
          <w:iCs/>
        </w:rPr>
        <w:t>flow matched contracts</w:t>
      </w:r>
      <w:r w:rsidR="009E50B2" w:rsidRPr="00D93BAD">
        <w:rPr>
          <w:i/>
          <w:iCs/>
        </w:rPr>
        <w:t>’</w:t>
      </w:r>
      <w:r w:rsidR="00F37032" w:rsidRPr="00D93BAD">
        <w:rPr>
          <w:rStyle w:val="FootnoteReference"/>
          <w:i/>
          <w:iCs/>
        </w:rPr>
        <w:footnoteReference w:id="2"/>
      </w:r>
      <w:r w:rsidR="00010A23" w:rsidRPr="00D93BAD">
        <w:rPr>
          <w:i/>
          <w:iCs/>
        </w:rPr>
        <w:t xml:space="preserve">, </w:t>
      </w:r>
      <w:r w:rsidR="00B6570E" w:rsidRPr="00D93BAD">
        <w:rPr>
          <w:i/>
          <w:iCs/>
        </w:rPr>
        <w:t>or</w:t>
      </w:r>
      <w:r w:rsidR="003109D9" w:rsidRPr="00D93BAD">
        <w:rPr>
          <w:i/>
          <w:iCs/>
        </w:rPr>
        <w:t xml:space="preserve"> </w:t>
      </w:r>
      <w:r w:rsidR="009A2C0D" w:rsidRPr="00D93BAD">
        <w:rPr>
          <w:i/>
          <w:iCs/>
        </w:rPr>
        <w:t>‘</w:t>
      </w:r>
      <w:r w:rsidR="003109D9" w:rsidRPr="00D93BAD">
        <w:rPr>
          <w:i/>
          <w:iCs/>
        </w:rPr>
        <w:t>intergenerationally mutualised and cash flow matched contracts’</w:t>
      </w:r>
      <w:r w:rsidR="00FD24FA" w:rsidRPr="00D93BAD">
        <w:rPr>
          <w:i/>
          <w:iCs/>
        </w:rPr>
        <w:t xml:space="preserve">. Annex 1 presents </w:t>
      </w:r>
      <w:r w:rsidR="009E647B">
        <w:rPr>
          <w:i/>
          <w:iCs/>
        </w:rPr>
        <w:t>content</w:t>
      </w:r>
      <w:r w:rsidR="00C03504" w:rsidRPr="00D93BAD">
        <w:rPr>
          <w:i/>
          <w:iCs/>
        </w:rPr>
        <w:t xml:space="preserve"> </w:t>
      </w:r>
      <w:r w:rsidR="008B35A9" w:rsidRPr="00D93BAD">
        <w:rPr>
          <w:i/>
          <w:iCs/>
        </w:rPr>
        <w:t xml:space="preserve">of this requirement </w:t>
      </w:r>
      <w:r w:rsidR="00C03504" w:rsidRPr="00D93BAD">
        <w:rPr>
          <w:i/>
          <w:iCs/>
        </w:rPr>
        <w:t xml:space="preserve">that contribute positively or negatively to the </w:t>
      </w:r>
      <w:r w:rsidR="00923FFE" w:rsidRPr="00D93BAD">
        <w:rPr>
          <w:i/>
          <w:iCs/>
        </w:rPr>
        <w:t xml:space="preserve">technical criteria </w:t>
      </w:r>
      <w:r w:rsidR="0097198A" w:rsidRPr="00D93BAD">
        <w:rPr>
          <w:i/>
          <w:iCs/>
        </w:rPr>
        <w:t xml:space="preserve">on this matter. </w:t>
      </w:r>
    </w:p>
    <w:p w14:paraId="024604E9" w14:textId="77777777" w:rsidR="008857DE" w:rsidRPr="00DB61CF" w:rsidRDefault="00965C73" w:rsidP="009D5BD1">
      <w:pPr>
        <w:pStyle w:val="Normalnumberedlevel1"/>
      </w:pPr>
      <w:r w:rsidRPr="00DB61CF">
        <w:t xml:space="preserve">EFRAG’s initial assessment of </w:t>
      </w:r>
      <w:r w:rsidR="00DE1A23" w:rsidRPr="00DB61CF">
        <w:t>IFRS 17</w:t>
      </w:r>
      <w:r w:rsidR="00F27F05" w:rsidRPr="00DB61CF">
        <w:t xml:space="preserve"> </w:t>
      </w:r>
      <w:r w:rsidRPr="00DB61CF">
        <w:t>is that</w:t>
      </w:r>
      <w:r w:rsidR="008857DE" w:rsidRPr="00DB61CF">
        <w:t>:</w:t>
      </w:r>
    </w:p>
    <w:p w14:paraId="23905CAA" w14:textId="05F7F7D5" w:rsidR="00EB1D84" w:rsidRPr="00DB61CF" w:rsidRDefault="008A5314" w:rsidP="004857A2">
      <w:pPr>
        <w:pStyle w:val="Normalnumberedlevel2"/>
        <w:numPr>
          <w:ilvl w:val="1"/>
          <w:numId w:val="10"/>
        </w:numPr>
      </w:pPr>
      <w:r w:rsidRPr="00DB61CF">
        <w:t xml:space="preserve">The EFRAG Board has concluded on a consensus basis that, apart from the requirement to apply annual cohorts </w:t>
      </w:r>
      <w:r w:rsidRPr="00DB61CF" w:rsidDel="00ED0140">
        <w:t xml:space="preserve">to </w:t>
      </w:r>
      <w:r w:rsidR="00A87C77">
        <w:t xml:space="preserve">intergenerationally-mutualised and cash-flow matched contracts, </w:t>
      </w:r>
      <w:r w:rsidR="00A87C77" w:rsidRPr="00DB61CF">
        <w:t xml:space="preserve">as explained </w:t>
      </w:r>
      <w:r w:rsidR="00A87C77">
        <w:t>in the attached Cover Letter</w:t>
      </w:r>
      <w:r w:rsidR="00A87C77" w:rsidRPr="00DB61CF">
        <w:t>, on balance</w:t>
      </w:r>
      <w:r w:rsidR="00A87C77">
        <w:t>,</w:t>
      </w:r>
      <w:r w:rsidR="00A87C77" w:rsidRPr="00DB61CF">
        <w:t xml:space="preserve"> all the other requirements of IFRS 17 meet the qualitative characteristics of relevance, reliability, comparability and understandability required to support ‘economic decisions and the assessment of stewardship and raise no issues regarding prudent accounting. EFRAG has concluded that all the other requirements of IFRS 17 are not contrary to the true and fair view principle.</w:t>
      </w:r>
    </w:p>
    <w:p w14:paraId="44D0A67B" w14:textId="553AABB7" w:rsidR="0053082D" w:rsidRPr="0053082D" w:rsidRDefault="0053082D" w:rsidP="004857A2">
      <w:pPr>
        <w:pStyle w:val="Normalnumberedlevel2"/>
        <w:numPr>
          <w:ilvl w:val="1"/>
          <w:numId w:val="10"/>
        </w:numPr>
      </w:pPr>
      <w:r w:rsidRPr="0053082D">
        <w:t xml:space="preserve">EFRAG Board members were split </w:t>
      </w:r>
      <w:r w:rsidR="0010069D">
        <w:t>in</w:t>
      </w:r>
      <w:r w:rsidR="0016690F">
        <w:t>to</w:t>
      </w:r>
      <w:r w:rsidR="0010069D">
        <w:t xml:space="preserve"> </w:t>
      </w:r>
      <w:r w:rsidRPr="0053082D">
        <w:t>two groups</w:t>
      </w:r>
      <w:r w:rsidR="00D35438">
        <w:t xml:space="preserve"> about whether </w:t>
      </w:r>
      <w:r w:rsidR="006C2714">
        <w:t xml:space="preserve">the requirement </w:t>
      </w:r>
      <w:r w:rsidRPr="0053082D">
        <w:t>to apply annual cohorts</w:t>
      </w:r>
      <w:r w:rsidR="00535C66">
        <w:t xml:space="preserve"> to </w:t>
      </w:r>
      <w:r w:rsidR="00535C66" w:rsidRPr="00DB61CF">
        <w:t>intergenerationally mutualised and cash-flow matched contracts</w:t>
      </w:r>
      <w:r w:rsidR="004F58B6">
        <w:t xml:space="preserve"> meet the qualitative characteristics </w:t>
      </w:r>
      <w:r w:rsidR="007F159D">
        <w:t>describe</w:t>
      </w:r>
      <w:r w:rsidR="00E16C46">
        <w:t>d</w:t>
      </w:r>
      <w:r w:rsidR="007F159D">
        <w:t xml:space="preserve"> above</w:t>
      </w:r>
      <w:r w:rsidR="00535C66">
        <w:t xml:space="preserve">. </w:t>
      </w:r>
    </w:p>
    <w:p w14:paraId="59F27955" w14:textId="6D964E02" w:rsidR="00240E6B" w:rsidRDefault="00240E6B" w:rsidP="004857A2">
      <w:pPr>
        <w:pStyle w:val="Normalnumberedlevel2"/>
        <w:numPr>
          <w:ilvl w:val="2"/>
          <w:numId w:val="10"/>
        </w:numPr>
      </w:pPr>
      <w:r>
        <w:t xml:space="preserve">Nine EFRAG Board members consider that overcoming in a timely manner the issues of IFRS 4 brings sufficient benefits despite the concerns on annual cohorts. They believe that, in the absence of an alternative principles-based approach to grouping of contracts, on balance the annual cohorts requirement provides an acceptable conventional approach that enables to meet the reporting objectives of the level of aggregation of IFRS 17.  </w:t>
      </w:r>
    </w:p>
    <w:p w14:paraId="6DC3B7E7" w14:textId="79138228" w:rsidR="006202FF" w:rsidRPr="0053082D" w:rsidRDefault="00240E6B" w:rsidP="004857A2">
      <w:pPr>
        <w:pStyle w:val="Normalnumberedlevel2"/>
        <w:numPr>
          <w:ilvl w:val="2"/>
          <w:numId w:val="10"/>
        </w:numPr>
      </w:pPr>
      <w:r>
        <w:t>Seven EFRAG Board members consider that in many cases in Europe the requirement to apply annual cohorts for insurance contracts with intergenerational mutualisation and cash-flow matched contracts will result in information that is neither relevant nor reliable. This is because the requirement does not depict an entity’s rights and obligations and results in information that represents neither the economic characteristics of these contracts nor the entity’s underlying business model. These EFRAG Board members also consider that this requirement is not conducive to the European public good because it (</w:t>
      </w:r>
      <w:proofErr w:type="spellStart"/>
      <w:r>
        <w:t>i</w:t>
      </w:r>
      <w:proofErr w:type="spellEnd"/>
      <w:r>
        <w:t xml:space="preserve">) adds complexity and cost and does not bring benefits in terms of the resulting information, (ii) </w:t>
      </w:r>
      <w:r>
        <w:lastRenderedPageBreak/>
        <w:t>may lead to unintended incentives to change the way insurers cover insurance risks and (iii) may produce pro-cyclical reporting effects.</w:t>
      </w:r>
      <w:r w:rsidR="006D300A">
        <w:t xml:space="preserve">      </w:t>
      </w:r>
    </w:p>
    <w:p w14:paraId="51CC1F95" w14:textId="2734E4BD" w:rsidR="00965C73" w:rsidRPr="009802BC" w:rsidRDefault="00965C73" w:rsidP="008857DE">
      <w:pPr>
        <w:pStyle w:val="Normalnumberedlevel1"/>
        <w:numPr>
          <w:ilvl w:val="0"/>
          <w:numId w:val="0"/>
        </w:numPr>
        <w:ind w:left="567"/>
      </w:pPr>
      <w:r w:rsidRPr="009802BC">
        <w:t xml:space="preserve">EFRAG’s reasoning </w:t>
      </w:r>
      <w:r w:rsidR="00506927">
        <w:t xml:space="preserve">and observations are </w:t>
      </w:r>
      <w:r w:rsidRPr="009802BC">
        <w:t xml:space="preserve">set out in Appendix </w:t>
      </w:r>
      <w:r w:rsidR="009802BC">
        <w:t>II</w:t>
      </w:r>
      <w:r w:rsidR="00DB61CF">
        <w:t>,</w:t>
      </w:r>
      <w:r w:rsidR="009802BC">
        <w:t xml:space="preserve"> Annex </w:t>
      </w:r>
      <w:proofErr w:type="gramStart"/>
      <w:r w:rsidR="009802BC">
        <w:t>1</w:t>
      </w:r>
      <w:proofErr w:type="gramEnd"/>
      <w:r w:rsidR="00DB61CF">
        <w:t xml:space="preserve"> and the Cover </w:t>
      </w:r>
      <w:r w:rsidR="00475D9E" w:rsidDel="00795535">
        <w:t>L</w:t>
      </w:r>
      <w:r w:rsidR="008352DF" w:rsidDel="00795535">
        <w:t>etter</w:t>
      </w:r>
      <w:r w:rsidR="008352DF" w:rsidRPr="009802BC" w:rsidDel="00795535">
        <w:t xml:space="preserve"> </w:t>
      </w:r>
      <w:r w:rsidR="008352DF" w:rsidRPr="009802BC">
        <w:t xml:space="preserve">regarding endorsement of </w:t>
      </w:r>
      <w:r w:rsidR="009802BC">
        <w:t>IFRS 17</w:t>
      </w:r>
      <w:r w:rsidRPr="009802BC">
        <w:t>.</w:t>
      </w:r>
      <w:r w:rsidR="00DF2889" w:rsidRPr="009802BC">
        <w:t xml:space="preserve"> </w:t>
      </w:r>
    </w:p>
    <w:p w14:paraId="51CC1F96" w14:textId="5C24840F" w:rsidR="004E05D3" w:rsidRDefault="00965C73" w:rsidP="00AE4BC4">
      <w:pPr>
        <w:pStyle w:val="Normalnumberedlevel2"/>
      </w:pPr>
      <w:r w:rsidRPr="00715A3E">
        <w:t>Do you agree with this assessment</w:t>
      </w:r>
      <w:r w:rsidR="00C35CA0">
        <w:t xml:space="preserve"> </w:t>
      </w:r>
      <w:r w:rsidR="00AE4BC4">
        <w:t xml:space="preserve">for all the other requirements </w:t>
      </w:r>
      <w:r w:rsidR="004E4EAF">
        <w:t xml:space="preserve">of IFRS 17 </w:t>
      </w:r>
      <w:r w:rsidR="00AE4BC4">
        <w:t>apart from</w:t>
      </w:r>
      <w:r w:rsidR="00AE4BC4" w:rsidRPr="00AE4BC4">
        <w:t xml:space="preserve"> </w:t>
      </w:r>
      <w:r w:rsidR="00AE4BC4" w:rsidRPr="00DB61CF">
        <w:t>the requirement to apply annual cohorts to intergenerationally mutualised and cash-flow matched contracts</w:t>
      </w:r>
      <w:r w:rsidRPr="00715A3E">
        <w:t>?</w:t>
      </w:r>
    </w:p>
    <w:p w14:paraId="51CC1F97" w14:textId="77777777" w:rsidR="00965C73" w:rsidRDefault="003B2867" w:rsidP="009D5BD1">
      <w:pPr>
        <w:pStyle w:val="Normaldenumblevel2"/>
      </w:pPr>
      <w:r w:rsidRPr="00715A3E">
        <w:fldChar w:fldCharType="begin">
          <w:ffData>
            <w:name w:val="Check1"/>
            <w:enabled/>
            <w:calcOnExit w:val="0"/>
            <w:checkBox>
              <w:sizeAuto/>
              <w:default w:val="0"/>
            </w:checkBox>
          </w:ffData>
        </w:fldChar>
      </w:r>
      <w:bookmarkStart w:id="4" w:name="Check1"/>
      <w:r w:rsidR="00965C73" w:rsidRPr="00715A3E">
        <w:instrText xml:space="preserve"> FORMCHECKBOX </w:instrText>
      </w:r>
      <w:r w:rsidR="00525493">
        <w:fldChar w:fldCharType="separate"/>
      </w:r>
      <w:r w:rsidRPr="00715A3E">
        <w:fldChar w:fldCharType="end"/>
      </w:r>
      <w:bookmarkEnd w:id="4"/>
      <w:r w:rsidR="00965C73" w:rsidRPr="00715A3E">
        <w:t xml:space="preserve"> Yes</w:t>
      </w:r>
      <w:r w:rsidR="009D5BD1">
        <w:tab/>
      </w:r>
      <w:r w:rsidRPr="00715A3E">
        <w:fldChar w:fldCharType="begin">
          <w:ffData>
            <w:name w:val="Check2"/>
            <w:enabled/>
            <w:calcOnExit w:val="0"/>
            <w:checkBox>
              <w:sizeAuto/>
              <w:default w:val="0"/>
            </w:checkBox>
          </w:ffData>
        </w:fldChar>
      </w:r>
      <w:bookmarkStart w:id="5" w:name="Check2"/>
      <w:r w:rsidR="00965C73" w:rsidRPr="00715A3E">
        <w:instrText xml:space="preserve"> FORMCHECKBOX </w:instrText>
      </w:r>
      <w:r w:rsidR="00525493">
        <w:fldChar w:fldCharType="separate"/>
      </w:r>
      <w:r w:rsidRPr="00715A3E">
        <w:fldChar w:fldCharType="end"/>
      </w:r>
      <w:bookmarkEnd w:id="5"/>
      <w:r w:rsidR="00965C73" w:rsidRPr="00715A3E">
        <w:t xml:space="preserve"> No</w:t>
      </w:r>
    </w:p>
    <w:p w14:paraId="51CC1F98" w14:textId="77777777" w:rsidR="00965C73" w:rsidRPr="00715A3E" w:rsidRDefault="00965C73" w:rsidP="009D5BD1">
      <w:pPr>
        <w:pStyle w:val="Normaldenumblevel2"/>
      </w:pPr>
      <w:r w:rsidRPr="00715A3E">
        <w:t>If you do not</w:t>
      </w:r>
      <w:r w:rsidR="00802974">
        <w:t xml:space="preserve"> agree</w:t>
      </w:r>
      <w:r w:rsidRPr="00715A3E">
        <w:t xml:space="preserve">, please </w:t>
      </w:r>
      <w:r w:rsidR="00802974">
        <w:t xml:space="preserve">provide your arguments </w:t>
      </w:r>
      <w:r w:rsidRPr="00715A3E">
        <w:t xml:space="preserve">and what you believe the implications of this </w:t>
      </w:r>
      <w:r w:rsidR="00802974">
        <w:t>c</w:t>
      </w:r>
      <w:r w:rsidRPr="00715A3E">
        <w:t>ould be for EFRAG’s endorsement advice.</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9A" w14:textId="77777777" w:rsidTr="00B50A68">
        <w:trPr>
          <w:trHeight w:val="714"/>
        </w:trPr>
        <w:tc>
          <w:tcPr>
            <w:tcW w:w="7592" w:type="dxa"/>
          </w:tcPr>
          <w:p w14:paraId="51CC1F99" w14:textId="77777777" w:rsidR="009D5BD1" w:rsidRPr="00715A3E" w:rsidRDefault="009D5BD1" w:rsidP="009D5BD1">
            <w:pPr>
              <w:pStyle w:val="Bodyparagraph"/>
            </w:pPr>
          </w:p>
        </w:tc>
      </w:tr>
    </w:tbl>
    <w:p w14:paraId="5A6D8D8B" w14:textId="3A130F6D" w:rsidR="00B50A68" w:rsidRDefault="00AD2A1D" w:rsidP="00B50A68">
      <w:pPr>
        <w:pStyle w:val="Normalnumberedlevel2"/>
      </w:pPr>
      <w:r>
        <w:t xml:space="preserve">Having </w:t>
      </w:r>
      <w:r w:rsidR="003C20DD">
        <w:t xml:space="preserve">considered the technical arguments </w:t>
      </w:r>
      <w:r w:rsidR="00382EA4">
        <w:t xml:space="preserve">for those that support </w:t>
      </w:r>
      <w:r w:rsidR="00074935">
        <w:t xml:space="preserve">and those that </w:t>
      </w:r>
      <w:r w:rsidR="0024515D">
        <w:t xml:space="preserve">oppose </w:t>
      </w:r>
      <w:r w:rsidR="00382EA4">
        <w:t>the application of annual cohorts to intergenerationally</w:t>
      </w:r>
      <w:r w:rsidR="000B62B2">
        <w:t>-</w:t>
      </w:r>
      <w:r w:rsidR="00382EA4">
        <w:t>mutualised</w:t>
      </w:r>
      <w:r w:rsidR="00404F5D">
        <w:t xml:space="preserve"> contracts</w:t>
      </w:r>
      <w:r w:rsidR="000B62B2">
        <w:t xml:space="preserve">, </w:t>
      </w:r>
      <w:r w:rsidR="00B46A0C">
        <w:t xml:space="preserve">as described in Annex 1, </w:t>
      </w:r>
      <w:r w:rsidR="00571354">
        <w:t xml:space="preserve">and having considered the </w:t>
      </w:r>
      <w:r w:rsidR="005848AF">
        <w:t>two views from the EFRAG Board</w:t>
      </w:r>
      <w:r w:rsidR="00911FA5">
        <w:t xml:space="preserve"> </w:t>
      </w:r>
      <w:r w:rsidR="00816385">
        <w:t xml:space="preserve">above </w:t>
      </w:r>
      <w:r w:rsidR="00A66B93">
        <w:t>do</w:t>
      </w:r>
      <w:r w:rsidR="00CF0748">
        <w:t xml:space="preserve">es </w:t>
      </w:r>
      <w:r w:rsidR="006542ED">
        <w:t>t</w:t>
      </w:r>
      <w:r w:rsidR="0048704A">
        <w:t xml:space="preserve">he requirement </w:t>
      </w:r>
      <w:r w:rsidR="00FB35A1">
        <w:t xml:space="preserve">to </w:t>
      </w:r>
      <w:r w:rsidR="00B50A68" w:rsidRPr="00DB61CF">
        <w:t>apply annual cohorts to intergenerationally</w:t>
      </w:r>
      <w:r w:rsidR="00301D07">
        <w:t>-</w:t>
      </w:r>
      <w:r w:rsidR="00B50A68" w:rsidRPr="00DB61CF">
        <w:t>mutualised</w:t>
      </w:r>
      <w:r w:rsidR="00115A66">
        <w:t xml:space="preserve"> contracts</w:t>
      </w:r>
      <w:r w:rsidR="00431517">
        <w:t xml:space="preserve"> (within the context of paragraphs B67-B71 of IFRS 17)</w:t>
      </w:r>
      <w:r w:rsidR="00B50A68" w:rsidRPr="00DB61CF" w:rsidDel="00115A66">
        <w:t xml:space="preserve"> </w:t>
      </w:r>
      <w:r w:rsidR="00AD3F81">
        <w:t>meet the qualitative characteristics described above</w:t>
      </w:r>
      <w:r w:rsidR="00B50A68" w:rsidRPr="00715A3E">
        <w:t>?</w:t>
      </w:r>
      <w:r w:rsidR="001A08BC">
        <w:t xml:space="preserve"> </w:t>
      </w:r>
      <w:r w:rsidR="00831161">
        <w:t>Please explain</w:t>
      </w:r>
      <w:r w:rsidR="00296AF6">
        <w:t xml:space="preserve"> your technical reasons </w:t>
      </w:r>
      <w:r w:rsidR="00617C06">
        <w:t>for supporting your view</w:t>
      </w:r>
      <w:r w:rsidR="001A08BC" w:rsidDel="009819EB">
        <w:t>.</w:t>
      </w:r>
    </w:p>
    <w:p w14:paraId="1997546A" w14:textId="5FCB04DB" w:rsidR="00BF1C40" w:rsidRDefault="00BF1C40" w:rsidP="006D300A">
      <w:pPr>
        <w:pStyle w:val="Normalnumberedlevel1"/>
        <w:numPr>
          <w:ilvl w:val="0"/>
          <w:numId w:val="0"/>
        </w:numPr>
        <w:ind w:left="567"/>
      </w:pPr>
      <w:r>
        <w:tab/>
      </w:r>
      <w:r w:rsidRPr="00715A3E">
        <w:fldChar w:fldCharType="begin">
          <w:ffData>
            <w:name w:val="Check1"/>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Yes</w:t>
      </w:r>
      <w:r>
        <w:tab/>
      </w:r>
      <w:r w:rsidRPr="00715A3E">
        <w:fldChar w:fldCharType="begin">
          <w:ffData>
            <w:name w:val="Check2"/>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No</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E15781" w:rsidRPr="00715A3E" w14:paraId="4DD503C5" w14:textId="77777777" w:rsidTr="00090D0B">
        <w:trPr>
          <w:trHeight w:val="714"/>
        </w:trPr>
        <w:tc>
          <w:tcPr>
            <w:tcW w:w="7592" w:type="dxa"/>
          </w:tcPr>
          <w:p w14:paraId="3311D2E9" w14:textId="77777777" w:rsidR="00E15781" w:rsidRPr="00715A3E" w:rsidRDefault="00E15781" w:rsidP="00090D0B">
            <w:pPr>
              <w:pStyle w:val="Bodyparagraph"/>
            </w:pPr>
          </w:p>
        </w:tc>
      </w:tr>
    </w:tbl>
    <w:p w14:paraId="5144583C" w14:textId="5AFB8959" w:rsidR="00115A66" w:rsidRDefault="00CA1A9F" w:rsidP="00115A66">
      <w:pPr>
        <w:pStyle w:val="Normalnumberedlevel2"/>
      </w:pPr>
      <w:r>
        <w:t>Having considered the technical arguments for those that support and those that oppose the application of annual cohorts to cash-flow matched contracts, as described in Annex 1, and having considered the two views from the EFRAG Board</w:t>
      </w:r>
      <w:r w:rsidR="00911FA5">
        <w:t xml:space="preserve"> </w:t>
      </w:r>
      <w:r w:rsidR="00816385">
        <w:t xml:space="preserve">above </w:t>
      </w:r>
      <w:r w:rsidR="00011350">
        <w:t xml:space="preserve">does </w:t>
      </w:r>
      <w:r w:rsidR="00115A66" w:rsidRPr="00DB61CF">
        <w:t xml:space="preserve">the requirement to apply annual cohorts to </w:t>
      </w:r>
      <w:r w:rsidR="00115A66">
        <w:t>cash</w:t>
      </w:r>
      <w:r w:rsidR="006E3293">
        <w:t>-</w:t>
      </w:r>
      <w:r w:rsidR="00115A66">
        <w:t>flow matched contracts</w:t>
      </w:r>
      <w:r w:rsidR="00011350">
        <w:t xml:space="preserve"> meet the qualitative characteristics described above</w:t>
      </w:r>
      <w:r w:rsidR="00115A66" w:rsidRPr="00715A3E">
        <w:t>?</w:t>
      </w:r>
      <w:r w:rsidR="00115A66">
        <w:t xml:space="preserve"> </w:t>
      </w:r>
      <w:r w:rsidR="00831161">
        <w:t>Please explain</w:t>
      </w:r>
      <w:r w:rsidR="00617C06">
        <w:t xml:space="preserve"> your technical reasons for supporting your view</w:t>
      </w:r>
      <w:r w:rsidR="00115A66" w:rsidDel="009819EB">
        <w:t>.</w:t>
      </w:r>
    </w:p>
    <w:p w14:paraId="34206AB7" w14:textId="45BE2182" w:rsidR="00BF1C40" w:rsidRDefault="00BF1C40" w:rsidP="006D300A">
      <w:pPr>
        <w:pStyle w:val="Normalnumberedlevel1"/>
        <w:numPr>
          <w:ilvl w:val="0"/>
          <w:numId w:val="0"/>
        </w:numPr>
        <w:ind w:left="567"/>
      </w:pPr>
      <w:r>
        <w:tab/>
      </w:r>
      <w:r w:rsidRPr="00715A3E">
        <w:fldChar w:fldCharType="begin">
          <w:ffData>
            <w:name w:val="Check1"/>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Yes</w:t>
      </w:r>
      <w:r>
        <w:tab/>
      </w:r>
      <w:r w:rsidRPr="00715A3E">
        <w:fldChar w:fldCharType="begin">
          <w:ffData>
            <w:name w:val="Check2"/>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No</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115A66" w:rsidRPr="00715A3E" w14:paraId="1F8AA4C1" w14:textId="77777777" w:rsidTr="00885273">
        <w:trPr>
          <w:trHeight w:val="714"/>
        </w:trPr>
        <w:tc>
          <w:tcPr>
            <w:tcW w:w="7592" w:type="dxa"/>
          </w:tcPr>
          <w:p w14:paraId="45F9E9C9" w14:textId="77777777" w:rsidR="00115A66" w:rsidRPr="00715A3E" w:rsidRDefault="00115A66" w:rsidP="00885273">
            <w:pPr>
              <w:pStyle w:val="Bodyparagraph"/>
            </w:pPr>
          </w:p>
        </w:tc>
      </w:tr>
    </w:tbl>
    <w:p w14:paraId="51CC1F9B" w14:textId="5974C21C" w:rsidR="004E05D3" w:rsidRDefault="00965C73" w:rsidP="00E7570D">
      <w:pPr>
        <w:pStyle w:val="Normalnumberedlevel2"/>
      </w:pPr>
      <w:r w:rsidRPr="00715A3E">
        <w:t xml:space="preserve">Are there any issues that are not mentioned in Appendix </w:t>
      </w:r>
      <w:r w:rsidR="004C1EC9">
        <w:t>II</w:t>
      </w:r>
      <w:r w:rsidR="00CE1477">
        <w:t xml:space="preserve">, Annex </w:t>
      </w:r>
      <w:proofErr w:type="gramStart"/>
      <w:r w:rsidR="00CE1477">
        <w:t>1</w:t>
      </w:r>
      <w:proofErr w:type="gramEnd"/>
      <w:r w:rsidR="00CE1477">
        <w:t xml:space="preserve"> and the Cover </w:t>
      </w:r>
      <w:r w:rsidR="00F372EE">
        <w:t>L</w:t>
      </w:r>
      <w:r w:rsidR="00CE1477">
        <w:t>etter</w:t>
      </w:r>
      <w:r w:rsidR="008352DF" w:rsidRPr="008352DF" w:rsidDel="00795535">
        <w:t xml:space="preserve"> </w:t>
      </w:r>
      <w:r w:rsidR="008352DF" w:rsidRPr="008352DF">
        <w:t xml:space="preserve">regarding </w:t>
      </w:r>
      <w:r w:rsidR="00D01CD7">
        <w:t xml:space="preserve">the </w:t>
      </w:r>
      <w:r w:rsidR="008352DF" w:rsidRPr="008352DF">
        <w:t xml:space="preserve">endorsement of </w:t>
      </w:r>
      <w:r w:rsidR="004C1EC9">
        <w:t>IFRS 17</w:t>
      </w:r>
      <w:r w:rsidR="008352DF">
        <w:t xml:space="preserve"> </w:t>
      </w:r>
      <w:r w:rsidRPr="00715A3E">
        <w:t xml:space="preserve">that you believe EFRAG should take into account in its technical evaluation of </w:t>
      </w:r>
      <w:r w:rsidR="004C1EC9">
        <w:t>IFRS 17</w:t>
      </w:r>
      <w:r w:rsidRPr="00715A3E">
        <w:t>?</w:t>
      </w:r>
      <w:r w:rsidR="00DF2889" w:rsidRPr="00715A3E">
        <w:t xml:space="preserve"> </w:t>
      </w:r>
      <w:r w:rsidRPr="00715A3E">
        <w:t>If there are, what are those issues and why do you believe they are relevant to the evaluation?</w:t>
      </w:r>
      <w:r w:rsidR="00DF2889" w:rsidRPr="00715A3E">
        <w:t xml:space="preserve"> </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9D" w14:textId="77777777" w:rsidTr="00EC676B">
        <w:trPr>
          <w:trHeight w:val="618"/>
        </w:trPr>
        <w:tc>
          <w:tcPr>
            <w:tcW w:w="7602" w:type="dxa"/>
          </w:tcPr>
          <w:p w14:paraId="51CC1F9C" w14:textId="77777777" w:rsidR="009D5BD1" w:rsidRPr="00715A3E" w:rsidRDefault="009D5BD1" w:rsidP="009D5BD1">
            <w:pPr>
              <w:pStyle w:val="Bodyparagraph"/>
            </w:pPr>
          </w:p>
        </w:tc>
      </w:tr>
    </w:tbl>
    <w:p w14:paraId="51CC1F9E" w14:textId="5094B81D" w:rsidR="008973FC" w:rsidRDefault="001D2C49" w:rsidP="008973FC">
      <w:pPr>
        <w:pStyle w:val="Heading2"/>
      </w:pPr>
      <w:r>
        <w:t xml:space="preserve">Part II: </w:t>
      </w:r>
      <w:r w:rsidR="008973FC">
        <w:t>The European public good</w:t>
      </w:r>
    </w:p>
    <w:p w14:paraId="75369DD9" w14:textId="2B890608" w:rsidR="003F00E5" w:rsidRPr="00E13EBD" w:rsidRDefault="003F00E5" w:rsidP="00A9356F">
      <w:pPr>
        <w:pStyle w:val="Normalnumberedlevel1"/>
        <w:numPr>
          <w:ilvl w:val="0"/>
          <w:numId w:val="0"/>
        </w:numPr>
        <w:rPr>
          <w:i/>
        </w:rPr>
      </w:pPr>
      <w:r w:rsidRPr="00E13EBD">
        <w:rPr>
          <w:b/>
          <w:i/>
        </w:rPr>
        <w:t>Note to the respondents:</w:t>
      </w:r>
      <w:r w:rsidRPr="00E13EBD">
        <w:rPr>
          <w:i/>
        </w:rPr>
        <w:t xml:space="preserve"> EFRAG</w:t>
      </w:r>
      <w:r w:rsidR="00915B53" w:rsidRPr="00E13EBD">
        <w:rPr>
          <w:i/>
        </w:rPr>
        <w:t>’s</w:t>
      </w:r>
      <w:r w:rsidRPr="00E13EBD">
        <w:rPr>
          <w:i/>
        </w:rPr>
        <w:t xml:space="preserve"> reasoning </w:t>
      </w:r>
      <w:r w:rsidR="004F65A8">
        <w:rPr>
          <w:i/>
          <w:iCs/>
        </w:rPr>
        <w:t xml:space="preserve">and conclusions </w:t>
      </w:r>
      <w:r w:rsidRPr="00E13EBD">
        <w:rPr>
          <w:i/>
        </w:rPr>
        <w:t>with reference to all the other requirements of IFRS 17 is presented in Appendix II</w:t>
      </w:r>
      <w:r w:rsidR="00DA7665" w:rsidRPr="00E13EBD">
        <w:rPr>
          <w:i/>
        </w:rPr>
        <w:t>I</w:t>
      </w:r>
      <w:r w:rsidRPr="00E13EBD">
        <w:rPr>
          <w:i/>
        </w:rPr>
        <w:t xml:space="preserve">, apart </w:t>
      </w:r>
      <w:r w:rsidR="00D82A6E">
        <w:rPr>
          <w:i/>
          <w:iCs/>
        </w:rPr>
        <w:t>from</w:t>
      </w:r>
      <w:r w:rsidR="00D82A6E" w:rsidRPr="00E13EBD">
        <w:rPr>
          <w:i/>
          <w:iCs/>
        </w:rPr>
        <w:t xml:space="preserve"> </w:t>
      </w:r>
      <w:r w:rsidRPr="00E13EBD">
        <w:rPr>
          <w:i/>
        </w:rPr>
        <w:t>the observations on the requirement to apply annual cohorts to intergenerationally mutualised and cash flow matched contracts, which are presented in Annex 1 (refer to the section titled Appendix II</w:t>
      </w:r>
      <w:r w:rsidR="00AB7E39" w:rsidRPr="00E13EBD">
        <w:rPr>
          <w:i/>
        </w:rPr>
        <w:t>I</w:t>
      </w:r>
      <w:r w:rsidRPr="00E13EBD">
        <w:rPr>
          <w:i/>
        </w:rPr>
        <w:t xml:space="preserve"> in Annex 1). </w:t>
      </w:r>
    </w:p>
    <w:p w14:paraId="51CC1F9F" w14:textId="1EA5ECB3" w:rsidR="008352DF" w:rsidRDefault="008352DF" w:rsidP="009D5BD1">
      <w:pPr>
        <w:pStyle w:val="Normalnumberedlevel1"/>
      </w:pPr>
      <w:r w:rsidRPr="008352DF">
        <w:lastRenderedPageBreak/>
        <w:t xml:space="preserve">In its assessment of the impact of </w:t>
      </w:r>
      <w:r w:rsidR="004C1EC9">
        <w:t>IFRS 17</w:t>
      </w:r>
      <w:r w:rsidRPr="008352DF">
        <w:t xml:space="preserve"> on the European public good, EFRAG has considered a number of issues that are addressed in Appendix </w:t>
      </w:r>
      <w:r w:rsidR="00114377">
        <w:t>III</w:t>
      </w:r>
      <w:r>
        <w:t xml:space="preserve"> </w:t>
      </w:r>
      <w:r w:rsidR="00114377">
        <w:t>and Annex 1</w:t>
      </w:r>
      <w:r w:rsidR="00533AF5" w:rsidRPr="008352DF" w:rsidDel="00795535">
        <w:t xml:space="preserve"> </w:t>
      </w:r>
      <w:r w:rsidRPr="008352DF">
        <w:t xml:space="preserve">regarding </w:t>
      </w:r>
      <w:r w:rsidR="00533AF5">
        <w:t xml:space="preserve">the </w:t>
      </w:r>
      <w:r w:rsidRPr="008352DF">
        <w:t>endorsement of</w:t>
      </w:r>
      <w:r>
        <w:t xml:space="preserve"> </w:t>
      </w:r>
      <w:r w:rsidR="00114377">
        <w:t>IFRS 17</w:t>
      </w:r>
      <w:r w:rsidRPr="008352DF">
        <w:t>.</w:t>
      </w:r>
    </w:p>
    <w:p w14:paraId="287732BB" w14:textId="6183B060" w:rsidR="00E7570D" w:rsidRDefault="00E7570D" w:rsidP="004857A2">
      <w:pPr>
        <w:pStyle w:val="Normalnumberedlevel2"/>
        <w:numPr>
          <w:ilvl w:val="1"/>
          <w:numId w:val="10"/>
        </w:numPr>
      </w:pPr>
      <w:r w:rsidRPr="00E7570D">
        <w:t>The EFRAG Board has on a consensus basis assessed that, apart from the requirement to apply annual cohorts to intergenerationally</w:t>
      </w:r>
      <w:r w:rsidR="00D562BD">
        <w:t>-</w:t>
      </w:r>
      <w:r w:rsidRPr="00E7570D">
        <w:t>mutualised and cash-flow matched contracts,</w:t>
      </w:r>
      <w:r w:rsidRPr="00E7570D" w:rsidDel="00BD30CA">
        <w:t xml:space="preserve"> </w:t>
      </w:r>
      <w:r w:rsidRPr="00E7570D">
        <w:t xml:space="preserve">all the other requirements of </w:t>
      </w:r>
      <w:r w:rsidRPr="00D1019A">
        <w:t>IFRS 17</w:t>
      </w:r>
      <w:r w:rsidRPr="00D1019A" w:rsidDel="00C70FC9">
        <w:t xml:space="preserve"> </w:t>
      </w:r>
      <w:r w:rsidRPr="00D1019A">
        <w:t>would improve financial reporting and would reach an ac</w:t>
      </w:r>
      <w:r w:rsidRPr="00E7570D">
        <w:t>ceptable cost-benefit trade-off. EFRAG has not identified any other requirements of IFRS 17 that could have major adverse effect on the European economy, including financial stability and economic growth. Accordingly, EFRAG assesses that all the other requirements in IFRS 17 are</w:t>
      </w:r>
      <w:r w:rsidR="002923A7">
        <w:t>, on balance,</w:t>
      </w:r>
      <w:r w:rsidRPr="00E7570D">
        <w:t xml:space="preserve"> conducive to the European public good. </w:t>
      </w:r>
    </w:p>
    <w:p w14:paraId="6509C949" w14:textId="77777777" w:rsidR="000D2DBA" w:rsidRDefault="000D2DBA" w:rsidP="00645EF2">
      <w:pPr>
        <w:pStyle w:val="Normalnumberedlevel2"/>
      </w:pPr>
      <w:r w:rsidRPr="00715A3E">
        <w:t>Do you agree with this assessment</w:t>
      </w:r>
      <w:r>
        <w:t xml:space="preserve"> for all the other requirements apart from</w:t>
      </w:r>
      <w:r w:rsidRPr="00AE4BC4">
        <w:t xml:space="preserve"> </w:t>
      </w:r>
      <w:r w:rsidRPr="00DB61CF">
        <w:t>the requirement to apply annual cohorts to intergenerationally mutualised and cash-flow matched contracts</w:t>
      </w:r>
      <w:r w:rsidRPr="00715A3E">
        <w:t>?</w:t>
      </w:r>
    </w:p>
    <w:p w14:paraId="437BED41" w14:textId="77777777" w:rsidR="000D2DBA" w:rsidRDefault="000D2DBA" w:rsidP="000D2DBA">
      <w:pPr>
        <w:pStyle w:val="Normaldenumblevel2"/>
      </w:pPr>
      <w:r w:rsidRPr="00715A3E">
        <w:fldChar w:fldCharType="begin">
          <w:ffData>
            <w:name w:val="Check1"/>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Yes</w:t>
      </w:r>
      <w:r>
        <w:tab/>
      </w:r>
      <w:r w:rsidRPr="00715A3E">
        <w:fldChar w:fldCharType="begin">
          <w:ffData>
            <w:name w:val="Check2"/>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No</w:t>
      </w:r>
    </w:p>
    <w:p w14:paraId="0449BA7F" w14:textId="77777777" w:rsidR="000D2DBA" w:rsidRPr="00715A3E" w:rsidRDefault="000D2DBA" w:rsidP="000D2DBA">
      <w:pPr>
        <w:pStyle w:val="Normaldenumblevel2"/>
      </w:pPr>
      <w:r w:rsidRPr="00715A3E">
        <w:t>If you do not</w:t>
      </w:r>
      <w:r>
        <w:t xml:space="preserve"> agree</w:t>
      </w:r>
      <w:r w:rsidRPr="00715A3E">
        <w:t xml:space="preserve">, please </w:t>
      </w:r>
      <w:r>
        <w:t xml:space="preserve">provide your arguments </w:t>
      </w:r>
      <w:r w:rsidRPr="00715A3E">
        <w:t xml:space="preserve">and what you believe the implications of this </w:t>
      </w:r>
      <w:r>
        <w:t>c</w:t>
      </w:r>
      <w:r w:rsidRPr="00715A3E">
        <w:t>ould be for EFRAG’s endorsement advice.</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0D2DBA" w:rsidRPr="00715A3E" w14:paraId="3E5D294D" w14:textId="77777777" w:rsidTr="00090D0B">
        <w:trPr>
          <w:trHeight w:val="714"/>
        </w:trPr>
        <w:tc>
          <w:tcPr>
            <w:tcW w:w="7592" w:type="dxa"/>
          </w:tcPr>
          <w:p w14:paraId="1B84527C" w14:textId="77777777" w:rsidR="000D2DBA" w:rsidRPr="00715A3E" w:rsidRDefault="000D2DBA" w:rsidP="00090D0B">
            <w:pPr>
              <w:pStyle w:val="Bodyparagraph"/>
            </w:pPr>
          </w:p>
        </w:tc>
      </w:tr>
    </w:tbl>
    <w:p w14:paraId="0303C677" w14:textId="4E436033" w:rsidR="006A7FA5" w:rsidRPr="00E7570D" w:rsidRDefault="006A7FA5" w:rsidP="004857A2">
      <w:pPr>
        <w:pStyle w:val="Normalnumberedlevel2"/>
        <w:numPr>
          <w:ilvl w:val="1"/>
          <w:numId w:val="10"/>
        </w:numPr>
      </w:pPr>
      <w:r w:rsidRPr="00746C01">
        <w:rPr>
          <w:rStyle w:val="normaltextrun"/>
        </w:rPr>
        <w:t xml:space="preserve">EFRAG Board members were split between two groups, as described </w:t>
      </w:r>
      <w:r>
        <w:rPr>
          <w:rStyle w:val="normaltextrun"/>
        </w:rPr>
        <w:t>in the Cover Letter</w:t>
      </w:r>
      <w:r w:rsidR="00583CB6">
        <w:rPr>
          <w:rStyle w:val="normaltextrun"/>
        </w:rPr>
        <w:t xml:space="preserve"> and above</w:t>
      </w:r>
      <w:r w:rsidRPr="00746C01">
        <w:rPr>
          <w:rStyle w:val="normaltextrun"/>
        </w:rPr>
        <w:t>, with reference to the requirement to apply annual cohorts for contracts with intergenerational mutualisation and cash-flow matched contracts.</w:t>
      </w:r>
    </w:p>
    <w:p w14:paraId="1706490A" w14:textId="6E3B5CED" w:rsidR="000D2DBA" w:rsidRDefault="00601644" w:rsidP="00D72FB1">
      <w:pPr>
        <w:pStyle w:val="Normalnumberedlevel2"/>
      </w:pPr>
      <w:r>
        <w:t>Having considered the technical arguments for those that support and those that oppose the application of annual cohorts to intergenerationally-mutualised contracts, as described in Annex 1</w:t>
      </w:r>
      <w:r w:rsidR="00583CB6">
        <w:t>,</w:t>
      </w:r>
      <w:r>
        <w:t xml:space="preserve"> and having considered the two views from the EFRAG Board </w:t>
      </w:r>
      <w:r w:rsidR="00EB4375">
        <w:t xml:space="preserve">above, </w:t>
      </w:r>
      <w:r w:rsidR="00C060BB">
        <w:t>is</w:t>
      </w:r>
      <w:r w:rsidR="008E7038">
        <w:t xml:space="preserve"> </w:t>
      </w:r>
      <w:r w:rsidR="000D2DBA" w:rsidRPr="00DB61CF">
        <w:t>the requirement to apply annual cohorts to intergenerationally</w:t>
      </w:r>
      <w:r w:rsidR="00025F89">
        <w:t>-</w:t>
      </w:r>
      <w:r w:rsidR="000D2DBA" w:rsidRPr="00DB61CF">
        <w:t>mutualised contracts</w:t>
      </w:r>
      <w:r w:rsidR="003B6C96">
        <w:t xml:space="preserve"> </w:t>
      </w:r>
      <w:r w:rsidR="00431517">
        <w:t xml:space="preserve">(within the context of paragraphs B67-B71 of IFRS 17) </w:t>
      </w:r>
      <w:r w:rsidR="002D3606">
        <w:t xml:space="preserve">conducive to </w:t>
      </w:r>
      <w:r w:rsidR="003B6C96">
        <w:t>the European public good</w:t>
      </w:r>
      <w:r w:rsidR="000D2DBA" w:rsidRPr="00715A3E">
        <w:t>?</w:t>
      </w:r>
      <w:r w:rsidR="000D2DBA">
        <w:t xml:space="preserve"> </w:t>
      </w:r>
      <w:r w:rsidR="00831161">
        <w:t>Please explain your technical reasons for supporting your view</w:t>
      </w:r>
      <w:r w:rsidR="00422FA1" w:rsidRPr="00715A3E">
        <w:t>.</w:t>
      </w:r>
    </w:p>
    <w:p w14:paraId="31A119B0" w14:textId="31111B8B" w:rsidR="005F6EE4" w:rsidRDefault="005F6EE4" w:rsidP="006D300A">
      <w:pPr>
        <w:pStyle w:val="Normalnumberedlevel1"/>
        <w:numPr>
          <w:ilvl w:val="0"/>
          <w:numId w:val="0"/>
        </w:numPr>
        <w:ind w:left="567"/>
      </w:pPr>
      <w:r>
        <w:tab/>
      </w:r>
      <w:r w:rsidRPr="00715A3E">
        <w:fldChar w:fldCharType="begin">
          <w:ffData>
            <w:name w:val="Check1"/>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Yes</w:t>
      </w:r>
      <w:r>
        <w:tab/>
      </w:r>
      <w:r w:rsidRPr="00715A3E">
        <w:fldChar w:fldCharType="begin">
          <w:ffData>
            <w:name w:val="Check2"/>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No</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0D2DBA" w:rsidRPr="00715A3E" w14:paraId="3B8885DC" w14:textId="77777777" w:rsidTr="00090D0B">
        <w:trPr>
          <w:trHeight w:val="714"/>
        </w:trPr>
        <w:tc>
          <w:tcPr>
            <w:tcW w:w="7592" w:type="dxa"/>
          </w:tcPr>
          <w:p w14:paraId="672CC4D8" w14:textId="77777777" w:rsidR="000D2DBA" w:rsidRPr="00715A3E" w:rsidRDefault="000D2DBA" w:rsidP="00090D0B">
            <w:pPr>
              <w:pStyle w:val="Bodyparagraph"/>
            </w:pPr>
          </w:p>
        </w:tc>
      </w:tr>
    </w:tbl>
    <w:p w14:paraId="2634016F" w14:textId="72B907AE" w:rsidR="00F53F1C" w:rsidRDefault="00937748" w:rsidP="00F53F1C">
      <w:pPr>
        <w:pStyle w:val="Normalnumberedlevel2"/>
      </w:pPr>
      <w:bookmarkStart w:id="6" w:name="_Hlk50708005"/>
      <w:r>
        <w:t xml:space="preserve">Having considered the technical arguments for those that support and those that oppose the application of annual cohorts to cash-flow matched contracts, as described in Annex 1, and having considered the two views from the EFRAG Board </w:t>
      </w:r>
      <w:r w:rsidR="007C3225">
        <w:t xml:space="preserve">above, </w:t>
      </w:r>
      <w:r w:rsidR="00C060BB">
        <w:t>is</w:t>
      </w:r>
      <w:r w:rsidR="00F53F1C">
        <w:t xml:space="preserve"> </w:t>
      </w:r>
      <w:r w:rsidR="00F53F1C" w:rsidRPr="00DB61CF">
        <w:t xml:space="preserve">the requirement to apply annual cohorts to </w:t>
      </w:r>
      <w:r w:rsidR="00F53F1C">
        <w:t>cash</w:t>
      </w:r>
      <w:r w:rsidR="006E3293">
        <w:t>-</w:t>
      </w:r>
      <w:r w:rsidR="00F53F1C">
        <w:t>flow matched</w:t>
      </w:r>
      <w:r w:rsidR="00F53F1C" w:rsidRPr="00DB61CF">
        <w:t xml:space="preserve"> contracts</w:t>
      </w:r>
      <w:r w:rsidR="00F53F1C">
        <w:t xml:space="preserve"> </w:t>
      </w:r>
      <w:r w:rsidR="00C060BB">
        <w:t>conducive to</w:t>
      </w:r>
      <w:r w:rsidR="00F53F1C">
        <w:t xml:space="preserve"> the European public good</w:t>
      </w:r>
      <w:r w:rsidR="00C060BB">
        <w:t>?</w:t>
      </w:r>
      <w:r w:rsidR="00F53F1C">
        <w:t xml:space="preserve"> </w:t>
      </w:r>
      <w:r w:rsidR="00831161">
        <w:t>Please explain your technical reasons for supporting your view</w:t>
      </w:r>
      <w:r w:rsidR="00831161" w:rsidDel="009819EB">
        <w:t>.</w:t>
      </w:r>
    </w:p>
    <w:p w14:paraId="416F6DBA" w14:textId="3F01C45F" w:rsidR="005F6EE4" w:rsidRDefault="005F6EE4" w:rsidP="006D300A">
      <w:pPr>
        <w:pStyle w:val="Normalnumberedlevel1"/>
        <w:numPr>
          <w:ilvl w:val="0"/>
          <w:numId w:val="0"/>
        </w:numPr>
        <w:ind w:left="567"/>
      </w:pPr>
      <w:r>
        <w:tab/>
      </w:r>
      <w:r w:rsidRPr="00715A3E">
        <w:fldChar w:fldCharType="begin">
          <w:ffData>
            <w:name w:val="Check1"/>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Yes</w:t>
      </w:r>
      <w:r>
        <w:tab/>
      </w:r>
      <w:r w:rsidRPr="00715A3E">
        <w:fldChar w:fldCharType="begin">
          <w:ffData>
            <w:name w:val="Check2"/>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No</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F53F1C" w:rsidRPr="00715A3E" w14:paraId="7481576E" w14:textId="77777777" w:rsidTr="00885273">
        <w:trPr>
          <w:trHeight w:val="714"/>
        </w:trPr>
        <w:tc>
          <w:tcPr>
            <w:tcW w:w="7592" w:type="dxa"/>
          </w:tcPr>
          <w:p w14:paraId="3427C36F" w14:textId="77777777" w:rsidR="00F53F1C" w:rsidRPr="00715A3E" w:rsidRDefault="00F53F1C" w:rsidP="00885273">
            <w:pPr>
              <w:pStyle w:val="Bodyparagraph"/>
            </w:pPr>
          </w:p>
        </w:tc>
      </w:tr>
    </w:tbl>
    <w:p w14:paraId="09188ED8" w14:textId="1F98523D" w:rsidR="0012485D" w:rsidRPr="00B51E74" w:rsidRDefault="001D2C49" w:rsidP="001D2C49">
      <w:pPr>
        <w:pStyle w:val="Heading2"/>
        <w:rPr>
          <w:b w:val="0"/>
          <w:iCs w:val="0"/>
        </w:rPr>
      </w:pPr>
      <w:r w:rsidRPr="001D2C49">
        <w:lastRenderedPageBreak/>
        <w:t xml:space="preserve">Part III: </w:t>
      </w:r>
      <w:r w:rsidR="0012485D" w:rsidRPr="001D2C49">
        <w:t xml:space="preserve">The questions </w:t>
      </w:r>
      <w:r w:rsidRPr="001D2C49">
        <w:t>in Part III</w:t>
      </w:r>
      <w:r w:rsidR="0012485D" w:rsidRPr="001D2C49">
        <w:t xml:space="preserve"> </w:t>
      </w:r>
      <w:r w:rsidR="0012485D" w:rsidRPr="00B51E74">
        <w:rPr>
          <w:rStyle w:val="normaltextrun"/>
          <w:iCs w:val="0"/>
          <w:szCs w:val="22"/>
        </w:rPr>
        <w:t>relate to all the other requirements in IFRS 17 apart from the requirement to apply annual cohorts to intergenerationally mutualised and cash-flow matched contracts</w:t>
      </w:r>
    </w:p>
    <w:bookmarkEnd w:id="6"/>
    <w:p w14:paraId="1549CEF4" w14:textId="5FB70C7C" w:rsidR="00C33D13" w:rsidRDefault="006F6629" w:rsidP="00A9356F">
      <w:pPr>
        <w:pStyle w:val="Normalnumberedlevel1"/>
        <w:numPr>
          <w:ilvl w:val="0"/>
          <w:numId w:val="0"/>
        </w:numPr>
        <w:rPr>
          <w:i/>
        </w:rPr>
      </w:pPr>
      <w:r w:rsidRPr="00E13EBD">
        <w:rPr>
          <w:b/>
          <w:i/>
        </w:rPr>
        <w:t>Note</w:t>
      </w:r>
      <w:r w:rsidR="008136B3">
        <w:rPr>
          <w:b/>
          <w:i/>
        </w:rPr>
        <w:t>s</w:t>
      </w:r>
      <w:r w:rsidRPr="00E13EBD">
        <w:rPr>
          <w:b/>
          <w:i/>
        </w:rPr>
        <w:t xml:space="preserve"> to the respondents:</w:t>
      </w:r>
      <w:r w:rsidRPr="00E13EBD">
        <w:rPr>
          <w:i/>
        </w:rPr>
        <w:t xml:space="preserve"> In this Part, “IFRS 17” or “requirements in IFRS 17” </w:t>
      </w:r>
      <w:r w:rsidR="006E30E5" w:rsidRPr="00E13EBD">
        <w:rPr>
          <w:i/>
        </w:rPr>
        <w:t xml:space="preserve">or “the Standard” </w:t>
      </w:r>
      <w:r w:rsidRPr="00E13EBD">
        <w:rPr>
          <w:i/>
        </w:rPr>
        <w:t xml:space="preserve">is intended to </w:t>
      </w:r>
      <w:r w:rsidR="00BC0BE1" w:rsidRPr="00E13EBD">
        <w:rPr>
          <w:i/>
        </w:rPr>
        <w:t>be referred to all the other requirements in IFRS 17 apart from the requirement to apply annual cohorts to intergenerationally mutualised and cash-flow matched contracts</w:t>
      </w:r>
      <w:r w:rsidR="00A660A7" w:rsidRPr="00E13EBD">
        <w:rPr>
          <w:i/>
        </w:rPr>
        <w:t xml:space="preserve"> (your views on the latter requirement </w:t>
      </w:r>
      <w:r w:rsidR="00181C1C" w:rsidRPr="00E13EBD">
        <w:rPr>
          <w:i/>
        </w:rPr>
        <w:t xml:space="preserve">are to be </w:t>
      </w:r>
      <w:r w:rsidR="00A660A7" w:rsidRPr="00E13EBD">
        <w:rPr>
          <w:i/>
        </w:rPr>
        <w:t xml:space="preserve">covered </w:t>
      </w:r>
      <w:r w:rsidR="005B438D" w:rsidRPr="00E13EBD">
        <w:rPr>
          <w:i/>
        </w:rPr>
        <w:t>in Part IV)</w:t>
      </w:r>
      <w:r w:rsidR="00A6122C" w:rsidRPr="00E13EBD">
        <w:rPr>
          <w:i/>
        </w:rPr>
        <w:t>.</w:t>
      </w:r>
      <w:r w:rsidR="005B438D" w:rsidRPr="00E13EBD">
        <w:rPr>
          <w:i/>
        </w:rPr>
        <w:t xml:space="preserve"> </w:t>
      </w:r>
    </w:p>
    <w:p w14:paraId="0C66DD2C" w14:textId="56C5D687" w:rsidR="008136B3" w:rsidRPr="00E13EBD" w:rsidRDefault="005D2EF4" w:rsidP="00A9356F">
      <w:pPr>
        <w:pStyle w:val="Normalnumberedlevel1"/>
        <w:numPr>
          <w:ilvl w:val="0"/>
          <w:numId w:val="0"/>
        </w:numPr>
        <w:rPr>
          <w:i/>
        </w:rPr>
      </w:pPr>
      <w:r>
        <w:rPr>
          <w:i/>
        </w:rPr>
        <w:t xml:space="preserve">The </w:t>
      </w:r>
      <w:r w:rsidR="00193AF4">
        <w:rPr>
          <w:i/>
        </w:rPr>
        <w:t xml:space="preserve">European Commission and the European Parliament </w:t>
      </w:r>
      <w:r w:rsidR="00D26196">
        <w:rPr>
          <w:i/>
        </w:rPr>
        <w:t xml:space="preserve">asked EFRAG to provide its views on a number of </w:t>
      </w:r>
      <w:r w:rsidR="0035585D">
        <w:rPr>
          <w:i/>
        </w:rPr>
        <w:t xml:space="preserve">specific </w:t>
      </w:r>
      <w:r w:rsidR="00D26196">
        <w:rPr>
          <w:i/>
        </w:rPr>
        <w:t>matters</w:t>
      </w:r>
      <w:r w:rsidR="0035585D">
        <w:rPr>
          <w:i/>
        </w:rPr>
        <w:t xml:space="preserve">, that are </w:t>
      </w:r>
      <w:r w:rsidR="00D26196">
        <w:rPr>
          <w:i/>
        </w:rPr>
        <w:t>presented below</w:t>
      </w:r>
      <w:r w:rsidR="005300F9">
        <w:rPr>
          <w:i/>
        </w:rPr>
        <w:t>.</w:t>
      </w:r>
      <w:r w:rsidR="00D26196">
        <w:rPr>
          <w:i/>
        </w:rPr>
        <w:t xml:space="preserve"> </w:t>
      </w:r>
    </w:p>
    <w:p w14:paraId="51CC1FA0" w14:textId="3890F3FA" w:rsidR="00822326" w:rsidRPr="00EC676B" w:rsidRDefault="00822326" w:rsidP="00822326">
      <w:pPr>
        <w:pStyle w:val="Heading3"/>
      </w:pPr>
      <w:r>
        <w:t xml:space="preserve">Improvement </w:t>
      </w:r>
      <w:r w:rsidDel="003928A5">
        <w:t>in</w:t>
      </w:r>
      <w:r>
        <w:t xml:space="preserve"> financial reporting</w:t>
      </w:r>
    </w:p>
    <w:p w14:paraId="78FFE6E5" w14:textId="79F40C2A" w:rsidR="00B51E74" w:rsidRDefault="00822326" w:rsidP="00090D0B">
      <w:pPr>
        <w:pStyle w:val="Normalnumberedlevel1"/>
      </w:pPr>
      <w:r w:rsidRPr="00715A3E">
        <w:t xml:space="preserve">EFRAG </w:t>
      </w:r>
      <w:r>
        <w:t>has identified that</w:t>
      </w:r>
      <w:r w:rsidR="00312EC1">
        <w:t>,</w:t>
      </w:r>
      <w:r>
        <w:t xml:space="preserve"> in assessing whether the endorsement of </w:t>
      </w:r>
      <w:r w:rsidR="00060108">
        <w:t>IFRS 17</w:t>
      </w:r>
      <w:r>
        <w:t xml:space="preserve"> is conducive to the European public good</w:t>
      </w:r>
      <w:r w:rsidR="00312EC1">
        <w:t>,</w:t>
      </w:r>
      <w:r>
        <w:t xml:space="preserve"> it should consider </w:t>
      </w:r>
      <w:r w:rsidRPr="001D1ED7">
        <w:t>wh</w:t>
      </w:r>
      <w:r>
        <w:t xml:space="preserve">ether </w:t>
      </w:r>
      <w:r w:rsidR="00060108">
        <w:t>the Standard</w:t>
      </w:r>
      <w:r w:rsidR="00CA29D0">
        <w:t xml:space="preserve"> is</w:t>
      </w:r>
      <w:r w:rsidRPr="00BC5BEB">
        <w:t xml:space="preserve"> an improvement over </w:t>
      </w:r>
      <w:r>
        <w:t xml:space="preserve">current requirements </w:t>
      </w:r>
      <w:r w:rsidRPr="00BC5BEB">
        <w:t>across the areas which have been subject to changes</w:t>
      </w:r>
      <w:r>
        <w:t xml:space="preserve"> </w:t>
      </w:r>
      <w:r w:rsidRPr="00F8031F">
        <w:t>(</w:t>
      </w:r>
      <w:r w:rsidRPr="007E3CCB">
        <w:t xml:space="preserve">see </w:t>
      </w:r>
      <w:r w:rsidRPr="00EC45DF">
        <w:t xml:space="preserve">paragraphs </w:t>
      </w:r>
      <w:r w:rsidR="00507C66" w:rsidRPr="00EC45DF">
        <w:t>15</w:t>
      </w:r>
      <w:r w:rsidRPr="00EC45DF">
        <w:t xml:space="preserve"> to </w:t>
      </w:r>
      <w:r w:rsidR="00EC45DF" w:rsidRPr="00EC45DF">
        <w:t>27</w:t>
      </w:r>
      <w:r w:rsidRPr="00EC45DF">
        <w:t xml:space="preserve"> of</w:t>
      </w:r>
      <w:r w:rsidRPr="007E3CCB">
        <w:t xml:space="preserve"> Appendix </w:t>
      </w:r>
      <w:r w:rsidR="001E179B" w:rsidRPr="007E3CCB">
        <w:t>III</w:t>
      </w:r>
      <w:r w:rsidRPr="007E3CCB">
        <w:t xml:space="preserve">). To summarise, </w:t>
      </w:r>
      <w:r w:rsidR="0031247C" w:rsidRPr="007E3CCB">
        <w:t>f</w:t>
      </w:r>
      <w:r w:rsidR="001E697C" w:rsidRPr="007E3CCB">
        <w:t>or all the other requirements in IFRS</w:t>
      </w:r>
      <w:r w:rsidR="00506F9F">
        <w:t> </w:t>
      </w:r>
      <w:r w:rsidR="001E697C" w:rsidRPr="007E3CCB">
        <w:t>17</w:t>
      </w:r>
      <w:r w:rsidR="000130A7">
        <w:t xml:space="preserve"> apart from the requirement to apply annual cohorts to intergenerationally mutualised and cash-flow matched contracts</w:t>
      </w:r>
      <w:r w:rsidR="001E697C" w:rsidRPr="007E3CCB">
        <w:t xml:space="preserve">, EFRAG considers that </w:t>
      </w:r>
      <w:r w:rsidR="00A272B4">
        <w:t xml:space="preserve">they </w:t>
      </w:r>
      <w:r w:rsidR="003C5B35" w:rsidRPr="003C5B35">
        <w:t>provide better financial information than IFRS 4</w:t>
      </w:r>
      <w:r w:rsidR="001E697C" w:rsidRPr="007E3CCB">
        <w:t>.</w:t>
      </w:r>
      <w:r w:rsidR="0031247C" w:rsidRPr="007E3CCB">
        <w:t xml:space="preserve"> </w:t>
      </w:r>
    </w:p>
    <w:p w14:paraId="51CC1FA2" w14:textId="146B71F8" w:rsidR="00822326" w:rsidRDefault="00822326" w:rsidP="00B51E74">
      <w:pPr>
        <w:pStyle w:val="Normalnumberedlevel1"/>
        <w:numPr>
          <w:ilvl w:val="0"/>
          <w:numId w:val="0"/>
        </w:numPr>
        <w:ind w:left="567"/>
      </w:pPr>
      <w:r>
        <w:t>Do you agree with th</w:t>
      </w:r>
      <w:r w:rsidR="00740771">
        <w:t>is</w:t>
      </w:r>
      <w:r>
        <w:t xml:space="preserve"> assessment? </w:t>
      </w:r>
    </w:p>
    <w:p w14:paraId="51CC1FA3" w14:textId="77777777" w:rsidR="00822326" w:rsidRPr="00715A3E" w:rsidRDefault="00822326" w:rsidP="00822326">
      <w:pPr>
        <w:pStyle w:val="Normaldenumblevel1"/>
      </w:pPr>
      <w:r w:rsidRPr="00715A3E">
        <w:fldChar w:fldCharType="begin">
          <w:ffData>
            <w:name w:val="Check1"/>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No</w:t>
      </w:r>
    </w:p>
    <w:p w14:paraId="51CC1FA4" w14:textId="77777777" w:rsidR="00F63D25" w:rsidRPr="00F63D25" w:rsidRDefault="00822326" w:rsidP="00F63D25">
      <w:pPr>
        <w:pStyle w:val="Normaldenumblevel1"/>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p>
    <w:tbl>
      <w:tblPr>
        <w:tblStyle w:val="TableGrid"/>
        <w:tblW w:w="0" w:type="auto"/>
        <w:tblInd w:w="562" w:type="dxa"/>
        <w:tblLook w:val="04A0" w:firstRow="1" w:lastRow="0" w:firstColumn="1" w:lastColumn="0" w:noHBand="0" w:noVBand="1"/>
      </w:tblPr>
      <w:tblGrid>
        <w:gridCol w:w="8159"/>
      </w:tblGrid>
      <w:tr w:rsidR="00DB64E3" w14:paraId="150FE663" w14:textId="77777777" w:rsidTr="00DB64E3">
        <w:tc>
          <w:tcPr>
            <w:tcW w:w="8159" w:type="dxa"/>
          </w:tcPr>
          <w:p w14:paraId="48202A9F" w14:textId="4FA6CF44" w:rsidR="00DB64E3" w:rsidRDefault="00DB64E3" w:rsidP="00A83EAD">
            <w:pPr>
              <w:pStyle w:val="Bodyparagraph"/>
            </w:pPr>
          </w:p>
        </w:tc>
      </w:tr>
    </w:tbl>
    <w:p w14:paraId="51CC1FB5" w14:textId="77777777" w:rsidR="008973FC" w:rsidRPr="009D0E89" w:rsidRDefault="008973FC" w:rsidP="00F21BF4">
      <w:pPr>
        <w:pStyle w:val="Heading3"/>
      </w:pPr>
      <w:r w:rsidRPr="009D0E89">
        <w:t xml:space="preserve">Costs and </w:t>
      </w:r>
      <w:r w:rsidRPr="00F21BF4">
        <w:t>benefits</w:t>
      </w:r>
    </w:p>
    <w:p w14:paraId="51CC1FC3" w14:textId="7EC3DDBE" w:rsidR="004E05D3" w:rsidRPr="0019580C" w:rsidRDefault="00EE2961" w:rsidP="009D5BD1">
      <w:pPr>
        <w:pStyle w:val="Normalnumberedlevel1"/>
      </w:pPr>
      <w:r w:rsidRPr="0019580C">
        <w:t>EFRAG</w:t>
      </w:r>
      <w:r w:rsidR="005C618F" w:rsidRPr="0019580C">
        <w:t>’s initial assessment is</w:t>
      </w:r>
      <w:r w:rsidRPr="0019580C">
        <w:t xml:space="preserve"> that </w:t>
      </w:r>
      <w:proofErr w:type="gramStart"/>
      <w:r w:rsidR="00FB091B">
        <w:t>t</w:t>
      </w:r>
      <w:r w:rsidR="00FB091B" w:rsidRPr="00FB091B">
        <w:t>aking into account</w:t>
      </w:r>
      <w:proofErr w:type="gramEnd"/>
      <w:r w:rsidR="00FB091B" w:rsidRPr="00FB091B">
        <w:t xml:space="preserve"> the evidence obtained from the various categories of stakeholders, the benefits of all the other </w:t>
      </w:r>
      <w:r w:rsidR="00734305">
        <w:t xml:space="preserve">IFRS 17 </w:t>
      </w:r>
      <w:r w:rsidR="00FB091B" w:rsidRPr="00FB091B">
        <w:t>requirements in IFRS 17 exceeds the related costs.</w:t>
      </w:r>
    </w:p>
    <w:p w14:paraId="6B7AC4C4" w14:textId="2A0047C5" w:rsidR="00A31628" w:rsidRDefault="00A31628" w:rsidP="00A31628">
      <w:pPr>
        <w:pStyle w:val="Normaldenumblevel1"/>
      </w:pPr>
      <w:r w:rsidRPr="007E3CCB">
        <w:t>Do you agree with th</w:t>
      </w:r>
      <w:r w:rsidR="009149D1">
        <w:t>is</w:t>
      </w:r>
      <w:r w:rsidRPr="007E3CCB">
        <w:t xml:space="preserve"> assessment?</w:t>
      </w:r>
      <w:r>
        <w:t xml:space="preserve"> </w:t>
      </w:r>
    </w:p>
    <w:p w14:paraId="5FDB7821" w14:textId="77777777" w:rsidR="00A31628" w:rsidRPr="00715A3E" w:rsidRDefault="00A31628" w:rsidP="00A31628">
      <w:pPr>
        <w:pStyle w:val="Normaldenumblevel1"/>
      </w:pPr>
      <w:r w:rsidRPr="00715A3E">
        <w:fldChar w:fldCharType="begin">
          <w:ffData>
            <w:name w:val="Check1"/>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No</w:t>
      </w:r>
    </w:p>
    <w:p w14:paraId="019C7D9B" w14:textId="77777777" w:rsidR="00A31628" w:rsidRDefault="00A31628" w:rsidP="00A31628">
      <w:pPr>
        <w:pStyle w:val="Normaldenumblevel1"/>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p>
    <w:tbl>
      <w:tblPr>
        <w:tblStyle w:val="TableGrid"/>
        <w:tblW w:w="0" w:type="auto"/>
        <w:tblInd w:w="562" w:type="dxa"/>
        <w:tblLook w:val="04A0" w:firstRow="1" w:lastRow="0" w:firstColumn="1" w:lastColumn="0" w:noHBand="0" w:noVBand="1"/>
      </w:tblPr>
      <w:tblGrid>
        <w:gridCol w:w="8159"/>
      </w:tblGrid>
      <w:tr w:rsidR="00A31628" w14:paraId="5D1CBCB7" w14:textId="77777777" w:rsidTr="00B3300D">
        <w:tc>
          <w:tcPr>
            <w:tcW w:w="8159" w:type="dxa"/>
          </w:tcPr>
          <w:p w14:paraId="6B8B6132" w14:textId="77777777" w:rsidR="00A31628" w:rsidRDefault="00A31628" w:rsidP="00B3300D">
            <w:pPr>
              <w:pStyle w:val="Bodyparagraph"/>
            </w:pPr>
          </w:p>
        </w:tc>
      </w:tr>
    </w:tbl>
    <w:p w14:paraId="51CC1FC9" w14:textId="4876F310" w:rsidR="00822326" w:rsidRPr="000119DC" w:rsidRDefault="00822326" w:rsidP="00822326">
      <w:pPr>
        <w:pStyle w:val="Heading3"/>
      </w:pPr>
      <w:r w:rsidRPr="000119DC">
        <w:t>Other factors</w:t>
      </w:r>
    </w:p>
    <w:p w14:paraId="2B4070C7" w14:textId="77777777" w:rsidR="00490423" w:rsidRPr="00746C01" w:rsidRDefault="00490423" w:rsidP="00A22430">
      <w:pPr>
        <w:pStyle w:val="Heading4"/>
      </w:pPr>
      <w:r w:rsidRPr="00746C01">
        <w:t>Potential effects on financial stability</w:t>
      </w:r>
    </w:p>
    <w:p w14:paraId="62334D38" w14:textId="77777777" w:rsidR="00490423" w:rsidRPr="00C53769" w:rsidRDefault="00490423" w:rsidP="004B6E20">
      <w:pPr>
        <w:pStyle w:val="Normalnumberedlevel1"/>
      </w:pPr>
      <w:bookmarkStart w:id="7" w:name="_Ref51248422"/>
      <w:r w:rsidRPr="00746C01">
        <w:t>EFRAG has assessed the potential effects on financial stability based on the ten criteria set out in the framework developed by the European Central Bank “</w:t>
      </w:r>
      <w:r w:rsidRPr="00746C01">
        <w:rPr>
          <w:i/>
          <w:iCs/>
        </w:rPr>
        <w:t>Assessment of accounting standards from a financial stability perspective</w:t>
      </w:r>
      <w:r w:rsidRPr="00746C01">
        <w:t xml:space="preserve">” in December 2006. Based on this assessment, EFRAG </w:t>
      </w:r>
      <w:r w:rsidRPr="00C53769">
        <w:t>is of the view that, o</w:t>
      </w:r>
      <w:r w:rsidRPr="00F0235C">
        <w:t xml:space="preserve">n balance, IFRS 17 does not negatively </w:t>
      </w:r>
      <w:r w:rsidRPr="0031733B">
        <w:t xml:space="preserve">affect financial stability </w:t>
      </w:r>
      <w:r w:rsidRPr="00C53769">
        <w:t>(Appendix III</w:t>
      </w:r>
      <w:r w:rsidRPr="0031733B">
        <w:t xml:space="preserve"> paragraphs </w:t>
      </w:r>
      <w:r w:rsidRPr="00C53769">
        <w:t>4</w:t>
      </w:r>
      <w:r w:rsidRPr="00DA7895">
        <w:t>2</w:t>
      </w:r>
      <w:r w:rsidRPr="00C53769">
        <w:t xml:space="preserve">8 to </w:t>
      </w:r>
      <w:r w:rsidRPr="00DA7895">
        <w:t>482</w:t>
      </w:r>
      <w:r w:rsidRPr="00C53769">
        <w:t>).</w:t>
      </w:r>
      <w:bookmarkEnd w:id="7"/>
    </w:p>
    <w:p w14:paraId="51CC1FCC" w14:textId="37DF0344" w:rsidR="00822326" w:rsidRDefault="00822326" w:rsidP="004B6E20">
      <w:pPr>
        <w:pStyle w:val="Normalnumberedlevel1"/>
        <w:numPr>
          <w:ilvl w:val="0"/>
          <w:numId w:val="0"/>
        </w:numPr>
        <w:ind w:left="567"/>
      </w:pPr>
      <w:r w:rsidRPr="007E3CCB">
        <w:t xml:space="preserve">Do you agree with </w:t>
      </w:r>
      <w:r w:rsidR="004B6E20" w:rsidRPr="007E3CCB">
        <w:t>th</w:t>
      </w:r>
      <w:r w:rsidR="004B6E20">
        <w:t>is</w:t>
      </w:r>
      <w:r w:rsidRPr="007E3CCB">
        <w:t xml:space="preserve"> assessment?</w:t>
      </w:r>
      <w:r>
        <w:t xml:space="preserve"> </w:t>
      </w:r>
    </w:p>
    <w:p w14:paraId="51CC1FCD" w14:textId="77777777" w:rsidR="00822326" w:rsidRPr="00715A3E" w:rsidRDefault="00822326" w:rsidP="004B6E20">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No</w:t>
      </w:r>
    </w:p>
    <w:p w14:paraId="1EBB3770" w14:textId="77777777" w:rsidR="00D409B5" w:rsidRDefault="00D409B5" w:rsidP="004B6E20">
      <w:pPr>
        <w:pStyle w:val="Normalnumberedlevel1"/>
        <w:numPr>
          <w:ilvl w:val="0"/>
          <w:numId w:val="0"/>
        </w:numPr>
        <w:ind w:left="567"/>
      </w:pPr>
    </w:p>
    <w:p w14:paraId="51CC1FCE" w14:textId="77777777" w:rsidR="00822326" w:rsidRDefault="00822326" w:rsidP="004B6E20">
      <w:pPr>
        <w:pStyle w:val="Normalnumberedlevel1"/>
        <w:numPr>
          <w:ilvl w:val="0"/>
          <w:numId w:val="0"/>
        </w:numPr>
        <w:ind w:left="567"/>
      </w:pPr>
      <w:r w:rsidRPr="008973FC">
        <w:lastRenderedPageBreak/>
        <w:t xml:space="preserve">If you do not agree, please provide your </w:t>
      </w:r>
      <w:proofErr w:type="gramStart"/>
      <w:r w:rsidRPr="008973FC">
        <w:t>arguments</w:t>
      </w:r>
      <w:proofErr w:type="gramEnd"/>
      <w:r w:rsidRPr="008973FC">
        <w:t xml:space="preserve">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822326" w:rsidRPr="001308F4" w14:paraId="51CC1FD0" w14:textId="77777777" w:rsidTr="004B6E20">
        <w:trPr>
          <w:trHeight w:val="676"/>
        </w:trPr>
        <w:tc>
          <w:tcPr>
            <w:tcW w:w="8154" w:type="dxa"/>
          </w:tcPr>
          <w:p w14:paraId="51CC1FCF" w14:textId="77777777" w:rsidR="00822326" w:rsidRPr="001308F4" w:rsidRDefault="00822326" w:rsidP="00CE37B9">
            <w:pPr>
              <w:pStyle w:val="Bodyparagraph"/>
              <w:rPr>
                <w:highlight w:val="yellow"/>
              </w:rPr>
            </w:pPr>
          </w:p>
        </w:tc>
      </w:tr>
    </w:tbl>
    <w:p w14:paraId="186A2138" w14:textId="77777777" w:rsidR="003F26F8" w:rsidRPr="00D65F80" w:rsidRDefault="003F26F8" w:rsidP="00A22430">
      <w:pPr>
        <w:pStyle w:val="Heading4"/>
      </w:pPr>
      <w:r w:rsidRPr="00C53769">
        <w:t>Potential effects on competitiveness</w:t>
      </w:r>
    </w:p>
    <w:p w14:paraId="3A8915F2" w14:textId="77777777" w:rsidR="003F26F8" w:rsidRDefault="003F26F8" w:rsidP="00A22430">
      <w:pPr>
        <w:pStyle w:val="Bodyparagraph"/>
        <w:ind w:firstLine="567"/>
        <w:rPr>
          <w:szCs w:val="22"/>
        </w:rPr>
      </w:pPr>
      <w:r w:rsidRPr="00C53769">
        <w:rPr>
          <w:szCs w:val="22"/>
        </w:rPr>
        <w:t xml:space="preserve">(Appendix III paragraphs </w:t>
      </w:r>
      <w:r w:rsidRPr="001B61DD">
        <w:rPr>
          <w:szCs w:val="22"/>
        </w:rPr>
        <w:t>227</w:t>
      </w:r>
      <w:r w:rsidRPr="00C53769">
        <w:rPr>
          <w:szCs w:val="22"/>
        </w:rPr>
        <w:t xml:space="preserve"> to </w:t>
      </w:r>
      <w:r w:rsidRPr="001B61DD">
        <w:rPr>
          <w:szCs w:val="22"/>
        </w:rPr>
        <w:t>286</w:t>
      </w:r>
      <w:r w:rsidRPr="00C53769">
        <w:rPr>
          <w:szCs w:val="22"/>
        </w:rPr>
        <w:t>)</w:t>
      </w:r>
    </w:p>
    <w:p w14:paraId="381BAC06" w14:textId="77777777" w:rsidR="003F26F8" w:rsidRPr="004E4107" w:rsidRDefault="003F26F8" w:rsidP="00657CC4">
      <w:pPr>
        <w:pStyle w:val="Normalnumberedlevel1"/>
      </w:pPr>
      <w:r w:rsidRPr="00597D32">
        <w:t xml:space="preserve">EFRAG has assessed </w:t>
      </w:r>
      <w:r w:rsidRPr="00746C01">
        <w:t xml:space="preserve">how IFRS 17 could affect the competitiveness of European insurers </w:t>
      </w:r>
      <w:proofErr w:type="gramStart"/>
      <w:r w:rsidRPr="00746C01">
        <w:t>taking into account</w:t>
      </w:r>
      <w:proofErr w:type="gramEnd"/>
      <w:r w:rsidRPr="00746C01">
        <w:t xml:space="preserve"> the diversity in their business models vis-à-vis their major competitors outside Europe.</w:t>
      </w:r>
    </w:p>
    <w:p w14:paraId="18A3241F" w14:textId="06C37CC6" w:rsidR="003F26F8" w:rsidRPr="00746C01" w:rsidRDefault="003F26F8" w:rsidP="00657CC4">
      <w:pPr>
        <w:pStyle w:val="Bodyparagraph"/>
        <w:ind w:left="567"/>
        <w:rPr>
          <w:szCs w:val="22"/>
        </w:rPr>
      </w:pPr>
      <w:r w:rsidRPr="00746C01">
        <w:rPr>
          <w:szCs w:val="22"/>
        </w:rPr>
        <w:t>EFRAG concludes that the underlying economics and profitability will always be more decisive in taking up a business in a particular region or a</w:t>
      </w:r>
      <w:r>
        <w:rPr>
          <w:szCs w:val="22"/>
        </w:rPr>
        <w:t xml:space="preserve"> particular </w:t>
      </w:r>
      <w:r w:rsidRPr="00746C01">
        <w:rPr>
          <w:szCs w:val="22"/>
        </w:rPr>
        <w:t>insurance product than</w:t>
      </w:r>
      <w:r w:rsidRPr="004E4107">
        <w:rPr>
          <w:szCs w:val="22"/>
        </w:rPr>
        <w:t xml:space="preserve"> </w:t>
      </w:r>
      <w:r>
        <w:rPr>
          <w:szCs w:val="22"/>
        </w:rPr>
        <w:t xml:space="preserve">changes to the </w:t>
      </w:r>
      <w:r w:rsidRPr="004E4107">
        <w:rPr>
          <w:szCs w:val="22"/>
        </w:rPr>
        <w:t>accounting that is used to report on it.</w:t>
      </w:r>
      <w:r w:rsidRPr="00597D32">
        <w:rPr>
          <w:szCs w:val="22"/>
        </w:rPr>
        <w:t xml:space="preserve"> </w:t>
      </w:r>
    </w:p>
    <w:p w14:paraId="60F46763" w14:textId="77777777" w:rsidR="00A87FA9" w:rsidRDefault="00A87FA9" w:rsidP="00A87FA9">
      <w:pPr>
        <w:pStyle w:val="Normalnumberedlevel1"/>
        <w:numPr>
          <w:ilvl w:val="0"/>
          <w:numId w:val="0"/>
        </w:numPr>
        <w:ind w:left="567"/>
      </w:pPr>
      <w:r w:rsidRPr="007E3CCB">
        <w:t>Do you agree with th</w:t>
      </w:r>
      <w:r>
        <w:t>is</w:t>
      </w:r>
      <w:r w:rsidRPr="007E3CCB">
        <w:t xml:space="preserve"> assessment?</w:t>
      </w:r>
      <w:r>
        <w:t xml:space="preserve"> </w:t>
      </w:r>
    </w:p>
    <w:p w14:paraId="1B2F3961" w14:textId="77777777" w:rsidR="00A87FA9" w:rsidRPr="00715A3E" w:rsidRDefault="00A87FA9" w:rsidP="00A87FA9">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No</w:t>
      </w:r>
    </w:p>
    <w:p w14:paraId="7DB8EDBD" w14:textId="77777777" w:rsidR="00A87FA9" w:rsidRDefault="00A87FA9" w:rsidP="00A87FA9">
      <w:pPr>
        <w:pStyle w:val="Normalnumberedlevel1"/>
        <w:numPr>
          <w:ilvl w:val="0"/>
          <w:numId w:val="0"/>
        </w:numPr>
        <w:ind w:left="567"/>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A87FA9" w:rsidRPr="001308F4" w14:paraId="2C73846E" w14:textId="77777777" w:rsidTr="00345893">
        <w:trPr>
          <w:trHeight w:val="676"/>
        </w:trPr>
        <w:tc>
          <w:tcPr>
            <w:tcW w:w="8154" w:type="dxa"/>
          </w:tcPr>
          <w:p w14:paraId="3A857202" w14:textId="77777777" w:rsidR="00A87FA9" w:rsidRPr="001308F4" w:rsidRDefault="00A87FA9" w:rsidP="00345893">
            <w:pPr>
              <w:pStyle w:val="Bodyparagraph"/>
              <w:rPr>
                <w:highlight w:val="yellow"/>
              </w:rPr>
            </w:pPr>
          </w:p>
        </w:tc>
      </w:tr>
    </w:tbl>
    <w:p w14:paraId="4D1915EB" w14:textId="43CAF1C9" w:rsidR="001A08BC" w:rsidRPr="001A08BC" w:rsidRDefault="007B2616" w:rsidP="00A22430">
      <w:pPr>
        <w:pStyle w:val="Heading4"/>
      </w:pPr>
      <w:r w:rsidRPr="007B2616">
        <w:t xml:space="preserve">Potential </w:t>
      </w:r>
      <w:r w:rsidR="000A5527">
        <w:t>impact on the insurance market</w:t>
      </w:r>
      <w:r w:rsidR="008513A2">
        <w:t xml:space="preserve"> (including impact on social guarantees)</w:t>
      </w:r>
    </w:p>
    <w:p w14:paraId="5256DEE4" w14:textId="77777777" w:rsidR="00657CC4" w:rsidRDefault="00657CC4" w:rsidP="00657CC4">
      <w:pPr>
        <w:pStyle w:val="Normalnumberedlevel1"/>
      </w:pPr>
      <w:bookmarkStart w:id="8" w:name="_Ref50649706"/>
      <w:r>
        <w:t>EFRAG has assessed the potential impact on the insurance market in Appendix III paragraphs 287 to 325.</w:t>
      </w:r>
      <w:bookmarkEnd w:id="8"/>
    </w:p>
    <w:p w14:paraId="69B1BF32" w14:textId="26C5F48B" w:rsidR="00657CC4" w:rsidRDefault="00FA623D" w:rsidP="00657CC4">
      <w:pPr>
        <w:pStyle w:val="Normalnumberedlevel1"/>
        <w:numPr>
          <w:ilvl w:val="0"/>
          <w:numId w:val="0"/>
        </w:numPr>
        <w:ind w:left="567"/>
      </w:pPr>
      <w:r>
        <w:t xml:space="preserve">EFRAG commissioned a study from an </w:t>
      </w:r>
      <w:r w:rsidR="00723887">
        <w:t xml:space="preserve">economic consultancy. This study </w:t>
      </w:r>
      <w:r w:rsidR="00174385">
        <w:t>(‘</w:t>
      </w:r>
      <w:r w:rsidR="00657CC4">
        <w:t>Economic Study</w:t>
      </w:r>
      <w:r w:rsidR="00174385">
        <w:t>’)</w:t>
      </w:r>
      <w:r w:rsidR="00657CC4">
        <w:t xml:space="preserve"> stated that entities may re-consider both their pricing methodologies and product offers when applying IFRS 17 for the first time. The effect on pricing may be more significant than the effect on product offers. However, EFRAG does not have any quantification of the extent of changes in pricing or product design that would result from it.</w:t>
      </w:r>
    </w:p>
    <w:p w14:paraId="6300D05B" w14:textId="77777777" w:rsidR="00657CC4" w:rsidRDefault="00657CC4" w:rsidP="00657CC4">
      <w:pPr>
        <w:pStyle w:val="Normalnumberedlevel1"/>
        <w:numPr>
          <w:ilvl w:val="0"/>
          <w:numId w:val="0"/>
        </w:numPr>
        <w:ind w:left="567"/>
      </w:pPr>
      <w:r>
        <w:t xml:space="preserve">As per the Economic Study, a majority of stakeholders interviewed (i.e. supervisory authorities, insurers and external investors) agreed that IFRS 17 alone would not impact the asset allocation of insurance undertakings, because this activity is more driven by risk management and/or asset/liability management. </w:t>
      </w:r>
    </w:p>
    <w:p w14:paraId="47DFE6DA" w14:textId="3B708885" w:rsidR="0011444C" w:rsidRPr="0011444C" w:rsidRDefault="00657CC4" w:rsidP="00657CC4">
      <w:pPr>
        <w:pStyle w:val="Normalnumberedlevel1"/>
        <w:numPr>
          <w:ilvl w:val="0"/>
          <w:numId w:val="0"/>
        </w:numPr>
        <w:ind w:left="567"/>
      </w:pPr>
      <w:r>
        <w:t xml:space="preserve">Furthermore, EFRAG has considered how IFRS 17 could affect small and medium-sized entities (SMEs). EFRAG concludes that the number of small insurers that would be affected by IFRS 17 in producing their individual financial statements is very limited (between 27 and 35 depending on the option chosen based on the </w:t>
      </w:r>
      <w:r w:rsidR="00AC1DCC">
        <w:t>proposed</w:t>
      </w:r>
      <w:r w:rsidR="00A72B75">
        <w:rPr>
          <w:rStyle w:val="FootnoteReference"/>
        </w:rPr>
        <w:footnoteReference w:id="3"/>
      </w:r>
      <w:r w:rsidR="00AC1DCC">
        <w:t xml:space="preserve"> </w:t>
      </w:r>
      <w:r>
        <w:t>EIOPA quantitative thresholds).</w:t>
      </w:r>
    </w:p>
    <w:p w14:paraId="38969967" w14:textId="6F3CF394" w:rsidR="00657CC4" w:rsidRDefault="00C00A2D" w:rsidP="00657CC4">
      <w:pPr>
        <w:pStyle w:val="Normalnumberedlevel1"/>
        <w:numPr>
          <w:ilvl w:val="0"/>
          <w:numId w:val="0"/>
        </w:numPr>
        <w:ind w:left="567"/>
      </w:pPr>
      <w:r>
        <w:t xml:space="preserve">(a) </w:t>
      </w:r>
      <w:r w:rsidR="00657CC4" w:rsidRPr="007E3CCB">
        <w:t>Do you agree with th</w:t>
      </w:r>
      <w:r w:rsidR="00095547">
        <w:t>e</w:t>
      </w:r>
      <w:r w:rsidR="00657CC4" w:rsidRPr="007E3CCB">
        <w:t xml:space="preserve"> assessment</w:t>
      </w:r>
      <w:r w:rsidR="00095547">
        <w:t xml:space="preserve"> on pricing and product offerings</w:t>
      </w:r>
      <w:r w:rsidR="00657CC4" w:rsidRPr="007E3CCB">
        <w:t>?</w:t>
      </w:r>
      <w:r w:rsidR="00657CC4">
        <w:t xml:space="preserve"> </w:t>
      </w:r>
    </w:p>
    <w:p w14:paraId="0487CE27" w14:textId="77777777" w:rsidR="00657CC4" w:rsidRPr="00715A3E" w:rsidRDefault="00657CC4" w:rsidP="00D31BB7">
      <w:pPr>
        <w:pStyle w:val="Normalnumberedlevel1"/>
        <w:numPr>
          <w:ilvl w:val="0"/>
          <w:numId w:val="0"/>
        </w:numPr>
        <w:tabs>
          <w:tab w:val="clear" w:pos="567"/>
          <w:tab w:val="left" w:pos="993"/>
        </w:tabs>
        <w:ind w:left="567"/>
      </w:pPr>
      <w:r w:rsidRPr="00715A3E">
        <w:fldChar w:fldCharType="begin">
          <w:ffData>
            <w:name w:val="Check1"/>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No</w:t>
      </w:r>
    </w:p>
    <w:p w14:paraId="7BB31351" w14:textId="4B4FF7DE" w:rsidR="008F1CD9" w:rsidRDefault="008F1CD9" w:rsidP="00252EC6">
      <w:pPr>
        <w:pStyle w:val="Normalnumberedlevel3"/>
        <w:tabs>
          <w:tab w:val="clear" w:pos="1134"/>
          <w:tab w:val="clear" w:pos="1701"/>
        </w:tabs>
        <w:ind w:left="1134"/>
      </w:pPr>
      <w:r w:rsidRPr="008973FC">
        <w:lastRenderedPageBreak/>
        <w:t xml:space="preserve">If you do not agree, please provide your </w:t>
      </w:r>
      <w:proofErr w:type="gramStart"/>
      <w:r w:rsidRPr="008973FC">
        <w:t>arguments</w:t>
      </w:r>
      <w:proofErr w:type="gramEnd"/>
      <w:r w:rsidRPr="008973FC">
        <w:t xml:space="preserve"> and indicate how this could affect EFRAG’s endorsement advice.</w:t>
      </w:r>
      <w:r>
        <w:t xml:space="preserve"> </w:t>
      </w:r>
    </w:p>
    <w:p w14:paraId="1FF8FD71" w14:textId="501D870C" w:rsidR="008F1CD9" w:rsidRDefault="008F1CD9" w:rsidP="00252EC6">
      <w:pPr>
        <w:pStyle w:val="Normalnumberedlevel3"/>
        <w:tabs>
          <w:tab w:val="clear" w:pos="1134"/>
          <w:tab w:val="clear" w:pos="1701"/>
        </w:tabs>
        <w:ind w:left="1134"/>
      </w:pPr>
      <w:r>
        <w:t>D</w:t>
      </w:r>
      <w:r w:rsidRPr="00374A92">
        <w:t>o you have any other observation</w:t>
      </w:r>
      <w:r>
        <w:t>s</w:t>
      </w:r>
      <w:r w:rsidRPr="00374A92">
        <w:t xml:space="preserve"> that you think is relevant for EFRAG’s endorsement assessment on this topic? Please </w:t>
      </w:r>
      <w:r>
        <w:t>explain.</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657CC4" w:rsidRPr="001308F4" w14:paraId="15C6C74C" w14:textId="77777777" w:rsidTr="00DD7EB4">
        <w:trPr>
          <w:trHeight w:val="676"/>
        </w:trPr>
        <w:tc>
          <w:tcPr>
            <w:tcW w:w="8154" w:type="dxa"/>
          </w:tcPr>
          <w:p w14:paraId="33B3DA34" w14:textId="77777777" w:rsidR="00657CC4" w:rsidRPr="001308F4" w:rsidRDefault="00657CC4" w:rsidP="00DD7EB4">
            <w:pPr>
              <w:pStyle w:val="Bodyparagraph"/>
              <w:rPr>
                <w:highlight w:val="yellow"/>
              </w:rPr>
            </w:pPr>
          </w:p>
        </w:tc>
      </w:tr>
    </w:tbl>
    <w:p w14:paraId="4659AFC6" w14:textId="6F68F044" w:rsidR="003A79B3" w:rsidRDefault="00C00A2D" w:rsidP="003A79B3">
      <w:pPr>
        <w:pStyle w:val="Normalnumberedlevel1"/>
        <w:numPr>
          <w:ilvl w:val="0"/>
          <w:numId w:val="0"/>
        </w:numPr>
        <w:ind w:left="567"/>
      </w:pPr>
      <w:r>
        <w:t>(</w:t>
      </w:r>
      <w:r w:rsidR="00710456">
        <w:t>b</w:t>
      </w:r>
      <w:r>
        <w:t xml:space="preserve">) </w:t>
      </w:r>
      <w:r w:rsidR="003A79B3" w:rsidRPr="007E3CCB">
        <w:t>Do you agree with th</w:t>
      </w:r>
      <w:r w:rsidR="00095547">
        <w:t>e</w:t>
      </w:r>
      <w:r w:rsidR="003A79B3" w:rsidRPr="007E3CCB">
        <w:t xml:space="preserve"> assessment</w:t>
      </w:r>
      <w:r w:rsidR="00095547">
        <w:t xml:space="preserve"> on asset allocation</w:t>
      </w:r>
      <w:r w:rsidR="003A79B3" w:rsidRPr="007E3CCB">
        <w:t>?</w:t>
      </w:r>
      <w:r w:rsidR="003A79B3">
        <w:t xml:space="preserve"> </w:t>
      </w:r>
    </w:p>
    <w:p w14:paraId="79B925A7" w14:textId="59421693" w:rsidR="003A79B3" w:rsidRDefault="003A79B3" w:rsidP="003A79B3">
      <w:pPr>
        <w:pStyle w:val="Normalnumberedlevel1"/>
        <w:numPr>
          <w:ilvl w:val="0"/>
          <w:numId w:val="0"/>
        </w:numPr>
        <w:ind w:left="567"/>
      </w:pPr>
      <w:r w:rsidRPr="00715A3E">
        <w:fldChar w:fldCharType="begin">
          <w:ffData>
            <w:name w:val=""/>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No</w:t>
      </w:r>
    </w:p>
    <w:p w14:paraId="57091323" w14:textId="7E238777" w:rsidR="00CB21AE" w:rsidRDefault="00CB21AE" w:rsidP="004857A2">
      <w:pPr>
        <w:pStyle w:val="Normalnumberedlevel3"/>
        <w:numPr>
          <w:ilvl w:val="2"/>
          <w:numId w:val="11"/>
        </w:numPr>
        <w:tabs>
          <w:tab w:val="clear" w:pos="1134"/>
          <w:tab w:val="clear" w:pos="1701"/>
        </w:tabs>
        <w:ind w:left="1134"/>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r w:rsidR="00374A92">
        <w:t xml:space="preserve"> </w:t>
      </w:r>
    </w:p>
    <w:p w14:paraId="2E7ED885" w14:textId="6E2FF495" w:rsidR="00374A92" w:rsidRDefault="00374A92" w:rsidP="00252EC6">
      <w:pPr>
        <w:pStyle w:val="Normalnumberedlevel3"/>
        <w:tabs>
          <w:tab w:val="clear" w:pos="1134"/>
          <w:tab w:val="clear" w:pos="1701"/>
        </w:tabs>
        <w:ind w:left="1134"/>
      </w:pPr>
      <w:r>
        <w:t>D</w:t>
      </w:r>
      <w:r w:rsidRPr="00374A92">
        <w:t>o you have any other observation</w:t>
      </w:r>
      <w:r>
        <w:t>s</w:t>
      </w:r>
      <w:r w:rsidRPr="00374A92">
        <w:t xml:space="preserve"> that you think is relevant for EFRAG’s endorsement assessment on this topic? Please </w:t>
      </w:r>
      <w:r w:rsidR="00AB20B9">
        <w:t>explain.</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CB21AE" w:rsidRPr="001308F4" w14:paraId="57EA0B0E" w14:textId="77777777" w:rsidTr="00885273">
        <w:trPr>
          <w:trHeight w:val="676"/>
        </w:trPr>
        <w:tc>
          <w:tcPr>
            <w:tcW w:w="8154" w:type="dxa"/>
          </w:tcPr>
          <w:p w14:paraId="12300986" w14:textId="77777777" w:rsidR="00CB21AE" w:rsidRPr="001308F4" w:rsidRDefault="00CB21AE" w:rsidP="00885273">
            <w:pPr>
              <w:pStyle w:val="Bodyparagraph"/>
              <w:rPr>
                <w:highlight w:val="yellow"/>
              </w:rPr>
            </w:pPr>
          </w:p>
        </w:tc>
      </w:tr>
    </w:tbl>
    <w:p w14:paraId="0221E371" w14:textId="1059732C" w:rsidR="003A79B3" w:rsidRDefault="00C00A2D" w:rsidP="003A79B3">
      <w:pPr>
        <w:pStyle w:val="Normalnumberedlevel1"/>
        <w:numPr>
          <w:ilvl w:val="0"/>
          <w:numId w:val="0"/>
        </w:numPr>
        <w:ind w:left="567"/>
      </w:pPr>
      <w:r>
        <w:t>(</w:t>
      </w:r>
      <w:r w:rsidR="00710456">
        <w:t>c</w:t>
      </w:r>
      <w:r>
        <w:t xml:space="preserve">) </w:t>
      </w:r>
      <w:r w:rsidR="003A79B3" w:rsidRPr="007E3CCB">
        <w:t>Do you agree with th</w:t>
      </w:r>
      <w:r w:rsidR="00095547">
        <w:t>e</w:t>
      </w:r>
      <w:r w:rsidR="003A79B3" w:rsidRPr="007E3CCB">
        <w:t xml:space="preserve"> assessment</w:t>
      </w:r>
      <w:r w:rsidR="00095547">
        <w:t xml:space="preserve"> </w:t>
      </w:r>
      <w:r w:rsidR="00A9048A">
        <w:t xml:space="preserve">on </w:t>
      </w:r>
      <w:r w:rsidR="00BB1A22">
        <w:t>SMEs</w:t>
      </w:r>
      <w:r w:rsidR="003A79B3" w:rsidRPr="007E3CCB">
        <w:t>?</w:t>
      </w:r>
      <w:r w:rsidR="003A79B3">
        <w:t xml:space="preserve"> </w:t>
      </w:r>
    </w:p>
    <w:p w14:paraId="691F2091" w14:textId="77777777" w:rsidR="003A79B3" w:rsidRPr="00715A3E" w:rsidRDefault="003A79B3" w:rsidP="003A79B3">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No</w:t>
      </w:r>
    </w:p>
    <w:p w14:paraId="27B5625C" w14:textId="371D1C9A" w:rsidR="009B7C23" w:rsidRDefault="009B7C23" w:rsidP="00A1540F">
      <w:pPr>
        <w:pStyle w:val="Normalnumberedlevel3"/>
        <w:numPr>
          <w:ilvl w:val="2"/>
          <w:numId w:val="15"/>
        </w:numPr>
        <w:tabs>
          <w:tab w:val="clear" w:pos="567"/>
          <w:tab w:val="clear" w:pos="1134"/>
          <w:tab w:val="clear" w:pos="1701"/>
        </w:tabs>
        <w:ind w:left="1134"/>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r>
        <w:t xml:space="preserve"> </w:t>
      </w:r>
    </w:p>
    <w:p w14:paraId="748B2A60" w14:textId="60093ED8" w:rsidR="009B7C23" w:rsidRDefault="009B7C23" w:rsidP="00252EC6">
      <w:pPr>
        <w:pStyle w:val="Normalnumberedlevel3"/>
        <w:tabs>
          <w:tab w:val="clear" w:pos="1134"/>
          <w:tab w:val="clear" w:pos="1701"/>
        </w:tabs>
        <w:ind w:left="1134"/>
      </w:pPr>
      <w:r>
        <w:t>D</w:t>
      </w:r>
      <w:r w:rsidRPr="00374A92">
        <w:t>o you have any other observation</w:t>
      </w:r>
      <w:r>
        <w:t>s</w:t>
      </w:r>
      <w:r w:rsidRPr="00374A92">
        <w:t xml:space="preserve"> that you think is relevant for EFRAG’s endorsement assessment on this topic? Please </w:t>
      </w:r>
      <w:r>
        <w:t>explain.</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3A79B3" w:rsidRPr="001308F4" w14:paraId="47771E98" w14:textId="77777777" w:rsidTr="00885273">
        <w:trPr>
          <w:trHeight w:val="676"/>
        </w:trPr>
        <w:tc>
          <w:tcPr>
            <w:tcW w:w="8154" w:type="dxa"/>
          </w:tcPr>
          <w:p w14:paraId="01AC3B99" w14:textId="77777777" w:rsidR="003A79B3" w:rsidRPr="001308F4" w:rsidRDefault="003A79B3" w:rsidP="00885273">
            <w:pPr>
              <w:pStyle w:val="Bodyparagraph"/>
              <w:rPr>
                <w:highlight w:val="yellow"/>
              </w:rPr>
            </w:pPr>
          </w:p>
        </w:tc>
      </w:tr>
    </w:tbl>
    <w:p w14:paraId="6DBE9CB6" w14:textId="5ADC14DF" w:rsidR="008870EE" w:rsidRDefault="0063468C" w:rsidP="00A22430">
      <w:pPr>
        <w:pStyle w:val="Heading4"/>
      </w:pPr>
      <w:r w:rsidRPr="0063468C">
        <w:t>Presentation of general insurance contracts</w:t>
      </w:r>
    </w:p>
    <w:p w14:paraId="163989A8" w14:textId="33731D51" w:rsidR="0063468C" w:rsidRDefault="00B7773C" w:rsidP="0063468C">
      <w:pPr>
        <w:pStyle w:val="Normalnumberedlevel1"/>
      </w:pPr>
      <w:r w:rsidRPr="00746C01">
        <w:t xml:space="preserve">EFRAG is of the view the presentation requirements </w:t>
      </w:r>
      <w:r w:rsidRPr="001B61DD">
        <w:t>of IFRS 17 would provide relevant information</w:t>
      </w:r>
      <w:r>
        <w:t>.</w:t>
      </w:r>
      <w:r w:rsidRPr="001B61DD">
        <w:t xml:space="preserve"> </w:t>
      </w:r>
      <w:r w:rsidR="00932363" w:rsidRPr="00746C01">
        <w:t>EFRAG also concludes that providing separate information for contracts that are in an asset</w:t>
      </w:r>
      <w:r w:rsidR="00932363">
        <w:t>,</w:t>
      </w:r>
      <w:r w:rsidR="00932363" w:rsidRPr="00746C01">
        <w:t xml:space="preserve"> from those in a liability</w:t>
      </w:r>
      <w:r w:rsidR="00932363">
        <w:t>,</w:t>
      </w:r>
      <w:r w:rsidR="00932363" w:rsidRPr="00746C01">
        <w:t xml:space="preserve"> position would provide useful information </w:t>
      </w:r>
      <w:r w:rsidR="00932363" w:rsidRPr="001B61DD">
        <w:t>to users</w:t>
      </w:r>
      <w:r>
        <w:t>.</w:t>
      </w:r>
      <w:r w:rsidR="00920D7A">
        <w:t xml:space="preserve"> </w:t>
      </w:r>
      <w:r w:rsidR="00920D7A" w:rsidRPr="00355182">
        <w:t xml:space="preserve">(Appendix </w:t>
      </w:r>
      <w:r w:rsidR="00920D7A" w:rsidRPr="00746C01">
        <w:t xml:space="preserve">II paragraphs </w:t>
      </w:r>
      <w:r w:rsidR="00920D7A" w:rsidRPr="001B61DD">
        <w:t>118</w:t>
      </w:r>
      <w:r w:rsidR="00920D7A" w:rsidRPr="00355182">
        <w:t xml:space="preserve"> </w:t>
      </w:r>
      <w:r w:rsidR="00920D7A" w:rsidRPr="00746C01">
        <w:t xml:space="preserve">to </w:t>
      </w:r>
      <w:r w:rsidR="00920D7A" w:rsidRPr="001B61DD">
        <w:t>125</w:t>
      </w:r>
      <w:r w:rsidR="00327DE6">
        <w:t>, 360 to 362</w:t>
      </w:r>
      <w:r w:rsidR="00920D7A" w:rsidRPr="00355182">
        <w:t>).</w:t>
      </w:r>
    </w:p>
    <w:p w14:paraId="24A9C027" w14:textId="77777777" w:rsidR="00B7773C" w:rsidRDefault="00B7773C" w:rsidP="00B7773C">
      <w:pPr>
        <w:pStyle w:val="Normalnumberedlevel1"/>
        <w:numPr>
          <w:ilvl w:val="0"/>
          <w:numId w:val="0"/>
        </w:numPr>
        <w:ind w:left="567"/>
      </w:pPr>
      <w:r w:rsidRPr="007E3CCB">
        <w:t>Do you agree with th</w:t>
      </w:r>
      <w:r>
        <w:t>is</w:t>
      </w:r>
      <w:r w:rsidRPr="007E3CCB">
        <w:t xml:space="preserve"> assessment?</w:t>
      </w:r>
      <w:r>
        <w:t xml:space="preserve"> </w:t>
      </w:r>
    </w:p>
    <w:p w14:paraId="1F3D6FFC" w14:textId="77777777" w:rsidR="00B7773C" w:rsidRPr="00715A3E" w:rsidRDefault="00B7773C" w:rsidP="00B7773C">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No</w:t>
      </w:r>
    </w:p>
    <w:p w14:paraId="12FDEBE5" w14:textId="77777777" w:rsidR="00B7773C" w:rsidRDefault="00B7773C" w:rsidP="00B7773C">
      <w:pPr>
        <w:pStyle w:val="Normalnumberedlevel1"/>
        <w:numPr>
          <w:ilvl w:val="0"/>
          <w:numId w:val="0"/>
        </w:numPr>
        <w:ind w:left="567"/>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B7773C" w:rsidRPr="001308F4" w14:paraId="2A0B902B" w14:textId="77777777" w:rsidTr="00090D0B">
        <w:trPr>
          <w:trHeight w:val="676"/>
        </w:trPr>
        <w:tc>
          <w:tcPr>
            <w:tcW w:w="8154" w:type="dxa"/>
          </w:tcPr>
          <w:p w14:paraId="324F5F66" w14:textId="77777777" w:rsidR="00B7773C" w:rsidRPr="001308F4" w:rsidRDefault="00B7773C" w:rsidP="00090D0B">
            <w:pPr>
              <w:pStyle w:val="Bodyparagraph"/>
              <w:rPr>
                <w:highlight w:val="yellow"/>
              </w:rPr>
            </w:pPr>
          </w:p>
        </w:tc>
      </w:tr>
    </w:tbl>
    <w:p w14:paraId="003C188F" w14:textId="2EDFC2C3" w:rsidR="0011444C" w:rsidRPr="0011444C" w:rsidRDefault="00C57FF4" w:rsidP="00A22430">
      <w:pPr>
        <w:pStyle w:val="Heading4"/>
      </w:pPr>
      <w:r>
        <w:t xml:space="preserve">Interaction </w:t>
      </w:r>
      <w:r w:rsidR="00315C6E">
        <w:t>between IFRS 17 and Solvency II</w:t>
      </w:r>
    </w:p>
    <w:p w14:paraId="0EF7D5B5" w14:textId="037C135D" w:rsidR="006F313A" w:rsidRPr="006F313A" w:rsidRDefault="006F313A" w:rsidP="006F313A">
      <w:pPr>
        <w:pStyle w:val="Normalnumberedlevel1"/>
      </w:pPr>
      <w:r w:rsidRPr="006F313A">
        <w:t xml:space="preserve">EFRAG concludes that in implementing IFRS 17, there are possible synergies with Solvency II, but the extent of such synergies varies between insurers. In addition, no synergies are expected </w:t>
      </w:r>
      <w:r w:rsidRPr="006F313A" w:rsidDel="00E8774B">
        <w:t xml:space="preserve">for </w:t>
      </w:r>
      <w:r w:rsidRPr="006F313A">
        <w:t>building blocks that are specific to IFRS 17</w:t>
      </w:r>
      <w:r w:rsidR="002B00D4" w:rsidRPr="002B00D4">
        <w:t xml:space="preserve"> </w:t>
      </w:r>
      <w:r w:rsidR="002B00D4">
        <w:t xml:space="preserve">such as the contractual service margin which is not </w:t>
      </w:r>
      <w:r w:rsidR="009669A1">
        <w:t xml:space="preserve">an element </w:t>
      </w:r>
      <w:r w:rsidR="007001C2">
        <w:t>of the measurement approach for insurance liabilities</w:t>
      </w:r>
      <w:r w:rsidR="002B00D4">
        <w:t xml:space="preserve"> under Solvency II</w:t>
      </w:r>
      <w:r w:rsidRPr="006F313A">
        <w:t xml:space="preserve">. Synergy potential is available in areas that have a high degree of commonality under the two frameworks, i.e. the </w:t>
      </w:r>
      <w:r w:rsidR="00DD6458" w:rsidRPr="00DD6458">
        <w:t>building blocks for the measurement of the insurance liability</w:t>
      </w:r>
      <w:r w:rsidRPr="006F313A">
        <w:t xml:space="preserve"> needed to establish the cash flow projections, and actuarial systems to measure insurance liabilities. The potential </w:t>
      </w:r>
      <w:r w:rsidRPr="006F313A">
        <w:lastRenderedPageBreak/>
        <w:t>depends, to an extent, on the differences in the starting position of insurers and the investments already made in the implementation of Solvency II. It also depends on the amount of effort to adapt existing actuarial systems, that were developed for the Solvency II environment, to the IFRS 17 reporting requirements. (Appendix III paragraphs 401 to 412).</w:t>
      </w:r>
    </w:p>
    <w:p w14:paraId="3389FB7C" w14:textId="77777777" w:rsidR="00657CC4" w:rsidRDefault="00657CC4" w:rsidP="006F313A">
      <w:pPr>
        <w:pStyle w:val="Normalnumberedlevel1"/>
        <w:numPr>
          <w:ilvl w:val="0"/>
          <w:numId w:val="0"/>
        </w:numPr>
        <w:ind w:left="567"/>
      </w:pPr>
      <w:r w:rsidRPr="007E3CCB">
        <w:t>Do you agree with th</w:t>
      </w:r>
      <w:r>
        <w:t>is</w:t>
      </w:r>
      <w:r w:rsidRPr="007E3CCB">
        <w:t xml:space="preserve"> assessment?</w:t>
      </w:r>
      <w:r>
        <w:t xml:space="preserve"> </w:t>
      </w:r>
    </w:p>
    <w:p w14:paraId="4F818C5A" w14:textId="77777777" w:rsidR="00657CC4" w:rsidRPr="00715A3E" w:rsidRDefault="00657CC4" w:rsidP="006F313A">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No</w:t>
      </w:r>
    </w:p>
    <w:p w14:paraId="37F23D66" w14:textId="77777777" w:rsidR="00657CC4" w:rsidRDefault="00657CC4" w:rsidP="006F313A">
      <w:pPr>
        <w:pStyle w:val="Normalnumberedlevel1"/>
        <w:numPr>
          <w:ilvl w:val="0"/>
          <w:numId w:val="0"/>
        </w:numPr>
        <w:ind w:left="567"/>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657CC4" w:rsidRPr="001308F4" w14:paraId="69665996" w14:textId="77777777" w:rsidTr="00DD7EB4">
        <w:trPr>
          <w:trHeight w:val="676"/>
        </w:trPr>
        <w:tc>
          <w:tcPr>
            <w:tcW w:w="8154" w:type="dxa"/>
          </w:tcPr>
          <w:p w14:paraId="632A50B0" w14:textId="77777777" w:rsidR="00657CC4" w:rsidRPr="001308F4" w:rsidRDefault="00657CC4" w:rsidP="00DD7EB4">
            <w:pPr>
              <w:pStyle w:val="Bodyparagraph"/>
              <w:rPr>
                <w:highlight w:val="yellow"/>
              </w:rPr>
            </w:pPr>
          </w:p>
        </w:tc>
      </w:tr>
    </w:tbl>
    <w:p w14:paraId="09BD4F8A" w14:textId="485FAFE6" w:rsidR="0011444C" w:rsidRPr="0011444C" w:rsidRDefault="00373BD7" w:rsidP="00993B43">
      <w:pPr>
        <w:pStyle w:val="Heading4"/>
        <w:jc w:val="both"/>
      </w:pPr>
      <w:r>
        <w:t xml:space="preserve">Impact of the new Standard on </w:t>
      </w:r>
      <w:r w:rsidR="00C13B4D">
        <w:t>financial stability</w:t>
      </w:r>
      <w:r w:rsidR="008C2CCD">
        <w:t>, long-term investment in the EU, procycli</w:t>
      </w:r>
      <w:r w:rsidR="00EA1498">
        <w:t>cality and volatility</w:t>
      </w:r>
    </w:p>
    <w:p w14:paraId="572651D7" w14:textId="03CC8BCD" w:rsidR="00BA7B2F" w:rsidRPr="00BA7B2F" w:rsidRDefault="00BA7B2F" w:rsidP="00BA7B2F">
      <w:pPr>
        <w:pStyle w:val="Normalnumberedlevel1"/>
      </w:pPr>
      <w:r w:rsidRPr="00BA7B2F">
        <w:t xml:space="preserve">On financial stability, refer to the conclusions </w:t>
      </w:r>
      <w:r>
        <w:t xml:space="preserve">in paragraph </w:t>
      </w:r>
      <w:r w:rsidR="00EA197E">
        <w:fldChar w:fldCharType="begin"/>
      </w:r>
      <w:r w:rsidR="00EA197E">
        <w:instrText xml:space="preserve"> REF _Ref51248422 \r \h </w:instrText>
      </w:r>
      <w:r w:rsidR="00EA197E">
        <w:fldChar w:fldCharType="separate"/>
      </w:r>
      <w:r w:rsidR="00C21DE0">
        <w:t>6</w:t>
      </w:r>
      <w:r w:rsidR="00EA197E">
        <w:fldChar w:fldCharType="end"/>
      </w:r>
      <w:r>
        <w:t xml:space="preserve"> of this </w:t>
      </w:r>
      <w:r w:rsidR="00721629">
        <w:t>Invitation to Comment</w:t>
      </w:r>
      <w:r w:rsidR="009B1484">
        <w:t>.</w:t>
      </w:r>
    </w:p>
    <w:p w14:paraId="741E9678" w14:textId="14967992" w:rsidR="00BA7B2F" w:rsidRPr="00BA7B2F" w:rsidRDefault="00BA7B2F" w:rsidP="00BA7B2F">
      <w:pPr>
        <w:pStyle w:val="Normalnumberedlevel1"/>
        <w:numPr>
          <w:ilvl w:val="0"/>
          <w:numId w:val="0"/>
        </w:numPr>
        <w:ind w:left="567"/>
      </w:pPr>
      <w:r w:rsidRPr="00BA7B2F">
        <w:t>On long-term investment in the EU, EFRAG’s view is that asset allocation decisions are driven by a variety of factors, among which external financial reporting requirements might play some part but do not appear to be a key driver. There is no indication that IFRS 17 in isolation would lead to any significant changes in European insurers’ decisions on asset allocation or holding periods (Appendix III paragraphs 96 to 123)</w:t>
      </w:r>
      <w:r w:rsidR="00E35A70">
        <w:t xml:space="preserve">. </w:t>
      </w:r>
    </w:p>
    <w:p w14:paraId="547F72FA" w14:textId="0F4E56E1" w:rsidR="00BA7B2F" w:rsidRPr="00BA7B2F" w:rsidRDefault="00BA7B2F" w:rsidP="00BA7B2F">
      <w:pPr>
        <w:pStyle w:val="Normalnumberedlevel1"/>
        <w:numPr>
          <w:ilvl w:val="0"/>
          <w:numId w:val="0"/>
        </w:numPr>
        <w:ind w:left="567"/>
      </w:pPr>
      <w:r w:rsidRPr="00BA7B2F">
        <w:t xml:space="preserve">On procyclicality and volatility, EFRAG believes that IFRS 17 has mixed effects on procyclicality. IFRS 17 may result in more volatile financial performance measures because of the use of a current measurement. However, from the evidence collected, it is not likely that this volatility </w:t>
      </w:r>
      <w:r w:rsidR="006D6625">
        <w:t xml:space="preserve">has the potential to </w:t>
      </w:r>
      <w:r w:rsidRPr="00BA7B2F">
        <w:t>play a specific role in producing pro-cyclical or anti-cyclical effects. EFRAG also assesses that IFRS 17</w:t>
      </w:r>
      <w:r w:rsidRPr="00BA7B2F" w:rsidDel="003F7DBC">
        <w:t xml:space="preserve"> </w:t>
      </w:r>
      <w:r w:rsidR="003F7DBC">
        <w:t>does</w:t>
      </w:r>
      <w:r w:rsidR="003F7DBC" w:rsidRPr="00BA7B2F">
        <w:t xml:space="preserve"> </w:t>
      </w:r>
      <w:r w:rsidRPr="00BA7B2F">
        <w:t>not</w:t>
      </w:r>
      <w:r w:rsidR="003F7DBC">
        <w:t xml:space="preserve"> have</w:t>
      </w:r>
      <w:r w:rsidRPr="00BA7B2F">
        <w:t xml:space="preserve"> the potential to reinforce economic cycles, such as overstating profits and thus allowing dividends and bonus distributions in good times, as there is no linkage between the accounting equity (cumulative retaining earnings) and amounts available for distributions, which are defined within the requirements of Solvency II or within the requirements at national level, independently from the IFRS accounting. Finally, EFRAG notes that the transparent nature of the IFRS 17 information has the benefit for investors to </w:t>
      </w:r>
      <w:r w:rsidR="00C4633D">
        <w:t xml:space="preserve">be able to </w:t>
      </w:r>
      <w:r w:rsidRPr="00BA7B2F">
        <w:t>react timely to any changes at hand, thereby avoiding cliff-effects. (Appendix III paragraphs 483 to 507).</w:t>
      </w:r>
    </w:p>
    <w:p w14:paraId="188363AD" w14:textId="32D52978" w:rsidR="00657CC4" w:rsidRDefault="007D574C" w:rsidP="00BA7B2F">
      <w:pPr>
        <w:pStyle w:val="Normalnumberedlevel1"/>
        <w:numPr>
          <w:ilvl w:val="0"/>
          <w:numId w:val="0"/>
        </w:numPr>
        <w:ind w:left="567"/>
      </w:pPr>
      <w:r>
        <w:t xml:space="preserve">(a) </w:t>
      </w:r>
      <w:r w:rsidR="00657CC4" w:rsidRPr="007E3CCB">
        <w:t>Do you agree with th</w:t>
      </w:r>
      <w:r w:rsidR="008624CE">
        <w:t>e</w:t>
      </w:r>
      <w:r w:rsidR="00657CC4" w:rsidRPr="007E3CCB">
        <w:t xml:space="preserve"> assessment</w:t>
      </w:r>
      <w:r w:rsidR="008624CE">
        <w:t xml:space="preserve"> on long-term </w:t>
      </w:r>
      <w:r w:rsidR="002E21E9">
        <w:t>investment</w:t>
      </w:r>
      <w:r w:rsidR="00657CC4" w:rsidRPr="007E3CCB">
        <w:t>?</w:t>
      </w:r>
      <w:r w:rsidR="00657CC4">
        <w:t xml:space="preserve"> </w:t>
      </w:r>
    </w:p>
    <w:p w14:paraId="03939395" w14:textId="77777777" w:rsidR="00657CC4" w:rsidRPr="00715A3E" w:rsidRDefault="00657CC4" w:rsidP="00BA7B2F">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No</w:t>
      </w:r>
    </w:p>
    <w:p w14:paraId="4BD93F29" w14:textId="272ACDA4" w:rsidR="00995A8A" w:rsidRDefault="00995A8A" w:rsidP="00252EC6">
      <w:pPr>
        <w:pStyle w:val="Normalnumberedlevel3"/>
        <w:tabs>
          <w:tab w:val="clear" w:pos="1134"/>
          <w:tab w:val="clear" w:pos="1701"/>
        </w:tabs>
        <w:ind w:left="1134"/>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r>
        <w:t xml:space="preserve"> </w:t>
      </w:r>
    </w:p>
    <w:p w14:paraId="6858E94D" w14:textId="68C93FBB" w:rsidR="00995A8A" w:rsidRDefault="00995A8A" w:rsidP="00252EC6">
      <w:pPr>
        <w:pStyle w:val="Normalnumberedlevel3"/>
        <w:tabs>
          <w:tab w:val="clear" w:pos="1134"/>
          <w:tab w:val="clear" w:pos="1701"/>
        </w:tabs>
        <w:ind w:left="1134"/>
      </w:pPr>
      <w:r>
        <w:t>D</w:t>
      </w:r>
      <w:r w:rsidRPr="00374A92">
        <w:t>o you have any other observation</w:t>
      </w:r>
      <w:r>
        <w:t>s</w:t>
      </w:r>
      <w:r w:rsidRPr="00374A92">
        <w:t xml:space="preserve"> that you think is relevant for EFRAG’s endorsement assessment on this topic? Please </w:t>
      </w:r>
      <w:r>
        <w:t>explain.</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657CC4" w:rsidRPr="001308F4" w14:paraId="2EC95E16" w14:textId="77777777" w:rsidTr="00DD7EB4">
        <w:trPr>
          <w:trHeight w:val="676"/>
        </w:trPr>
        <w:tc>
          <w:tcPr>
            <w:tcW w:w="8154" w:type="dxa"/>
          </w:tcPr>
          <w:p w14:paraId="179AF583" w14:textId="77777777" w:rsidR="00657CC4" w:rsidRPr="001308F4" w:rsidRDefault="00657CC4" w:rsidP="00DD7EB4">
            <w:pPr>
              <w:pStyle w:val="Bodyparagraph"/>
              <w:rPr>
                <w:highlight w:val="yellow"/>
              </w:rPr>
            </w:pPr>
          </w:p>
        </w:tc>
      </w:tr>
    </w:tbl>
    <w:p w14:paraId="418DB85D" w14:textId="542F1458" w:rsidR="008624CE" w:rsidRDefault="007D574C" w:rsidP="008624CE">
      <w:pPr>
        <w:pStyle w:val="Normalnumberedlevel1"/>
        <w:numPr>
          <w:ilvl w:val="0"/>
          <w:numId w:val="0"/>
        </w:numPr>
        <w:ind w:left="567"/>
      </w:pPr>
      <w:r>
        <w:t xml:space="preserve">(b) </w:t>
      </w:r>
      <w:r w:rsidR="008624CE" w:rsidRPr="007E3CCB">
        <w:t>Do you agree with th</w:t>
      </w:r>
      <w:r w:rsidR="002E21E9">
        <w:t>e</w:t>
      </w:r>
      <w:r w:rsidR="008624CE" w:rsidRPr="007E3CCB">
        <w:t xml:space="preserve"> assessment</w:t>
      </w:r>
      <w:r w:rsidR="002E21E9">
        <w:t xml:space="preserve"> on procyclicality and volatility</w:t>
      </w:r>
      <w:r w:rsidR="008624CE" w:rsidRPr="007E3CCB">
        <w:t>?</w:t>
      </w:r>
      <w:r w:rsidR="008624CE">
        <w:t xml:space="preserve"> </w:t>
      </w:r>
    </w:p>
    <w:p w14:paraId="74E68E11" w14:textId="77777777" w:rsidR="008624CE" w:rsidRPr="00715A3E" w:rsidRDefault="008624CE" w:rsidP="008624CE">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No</w:t>
      </w:r>
    </w:p>
    <w:p w14:paraId="71572CCF" w14:textId="63458D81" w:rsidR="00995A8A" w:rsidRDefault="00995A8A" w:rsidP="004857A2">
      <w:pPr>
        <w:pStyle w:val="Normalnumberedlevel3"/>
        <w:numPr>
          <w:ilvl w:val="2"/>
          <w:numId w:val="12"/>
        </w:numPr>
        <w:tabs>
          <w:tab w:val="clear" w:pos="567"/>
          <w:tab w:val="clear" w:pos="1134"/>
          <w:tab w:val="clear" w:pos="1701"/>
          <w:tab w:val="left" w:pos="1276"/>
        </w:tabs>
        <w:ind w:left="1276" w:hanging="709"/>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r>
        <w:t xml:space="preserve"> </w:t>
      </w:r>
    </w:p>
    <w:p w14:paraId="385EF3C4" w14:textId="150FA6E7" w:rsidR="00995A8A" w:rsidRDefault="00995A8A" w:rsidP="00252EC6">
      <w:pPr>
        <w:pStyle w:val="Normalnumberedlevel3"/>
        <w:tabs>
          <w:tab w:val="clear" w:pos="1134"/>
          <w:tab w:val="clear" w:pos="1701"/>
        </w:tabs>
        <w:ind w:left="1134"/>
      </w:pPr>
      <w:r>
        <w:lastRenderedPageBreak/>
        <w:t>D</w:t>
      </w:r>
      <w:r w:rsidRPr="00374A92">
        <w:t>o you have any other observation</w:t>
      </w:r>
      <w:r>
        <w:t>s</w:t>
      </w:r>
      <w:r w:rsidRPr="00374A92">
        <w:t xml:space="preserve"> that you think is relevant for EFRAG’s endorsement assessment on this topic? Please </w:t>
      </w:r>
      <w:r>
        <w:t>explain.</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8624CE" w:rsidRPr="001308F4" w14:paraId="27087EAD" w14:textId="77777777" w:rsidTr="00885273">
        <w:trPr>
          <w:trHeight w:val="676"/>
        </w:trPr>
        <w:tc>
          <w:tcPr>
            <w:tcW w:w="8154" w:type="dxa"/>
          </w:tcPr>
          <w:p w14:paraId="2CD29E1D" w14:textId="77777777" w:rsidR="008624CE" w:rsidRPr="001308F4" w:rsidRDefault="008624CE" w:rsidP="00885273">
            <w:pPr>
              <w:pStyle w:val="Bodyparagraph"/>
              <w:rPr>
                <w:highlight w:val="yellow"/>
              </w:rPr>
            </w:pPr>
          </w:p>
        </w:tc>
      </w:tr>
    </w:tbl>
    <w:p w14:paraId="0BCACFAA" w14:textId="77EC4630" w:rsidR="0011444C" w:rsidRPr="0011444C" w:rsidRDefault="00483E5D" w:rsidP="00A22430">
      <w:pPr>
        <w:pStyle w:val="Heading4"/>
      </w:pPr>
      <w:r>
        <w:t>IFRS 17 and IFRS 9</w:t>
      </w:r>
    </w:p>
    <w:p w14:paraId="15B3D450" w14:textId="011C2EE2" w:rsidR="005A670B" w:rsidRPr="00746C01" w:rsidRDefault="005A670B" w:rsidP="005A670B">
      <w:pPr>
        <w:pStyle w:val="Normalnumberedlevel1"/>
      </w:pPr>
      <w:r w:rsidRPr="00746C01">
        <w:t>EFRAG is of the view that mismatches reported by preparers that contributed to EFRAG’s assessment do not arise solely from the application of IFRS 17 and IFRS</w:t>
      </w:r>
      <w:r w:rsidR="00AA55A8">
        <w:t> </w:t>
      </w:r>
      <w:r w:rsidRPr="00746C01">
        <w:t xml:space="preserve">9 but are mostly </w:t>
      </w:r>
      <w:r w:rsidRPr="004E4107">
        <w:t xml:space="preserve">economic in nature. EFRAG considers that reporting </w:t>
      </w:r>
      <w:r w:rsidRPr="00746C01">
        <w:t>the extent of the economic mismatches in profit or loss provides useful information.</w:t>
      </w:r>
    </w:p>
    <w:p w14:paraId="2EE4CD1E" w14:textId="660F4F68" w:rsidR="005A670B" w:rsidRPr="00746C01" w:rsidRDefault="005A670B" w:rsidP="005A670B">
      <w:pPr>
        <w:pStyle w:val="Bodyparagraph"/>
        <w:ind w:left="567"/>
        <w:rPr>
          <w:szCs w:val="22"/>
        </w:rPr>
      </w:pPr>
      <w:r w:rsidRPr="00746C01">
        <w:rPr>
          <w:szCs w:val="22"/>
        </w:rPr>
        <w:t xml:space="preserve">In EFRAG’s view, asset allocation decisions are driven by a variety of factors and disentangling the impact of accounting requirements from other factors is difficult. When defining the accounting for financial assets under IFRS 9, an insurer would not apply business models determined in isolation, but rather business models that are supportive of or complementary to their </w:t>
      </w:r>
      <w:r w:rsidR="006A56AB">
        <w:rPr>
          <w:szCs w:val="22"/>
        </w:rPr>
        <w:t>business model for managing insurance contracts</w:t>
      </w:r>
      <w:r w:rsidRPr="00746C01">
        <w:rPr>
          <w:szCs w:val="22"/>
        </w:rPr>
        <w:t xml:space="preserve">. EFRAG notes that the interaction between each of an entity’s internal policy decisions will determine the importance of any accounting mismatches remaining in the </w:t>
      </w:r>
      <w:r w:rsidR="00235A39">
        <w:rPr>
          <w:szCs w:val="22"/>
        </w:rPr>
        <w:t>financial statements</w:t>
      </w:r>
      <w:r w:rsidRPr="00746C01">
        <w:rPr>
          <w:szCs w:val="22"/>
        </w:rPr>
        <w:t xml:space="preserve"> and this may differ largely from one insurer to another.</w:t>
      </w:r>
    </w:p>
    <w:p w14:paraId="1A9DB963" w14:textId="77777777" w:rsidR="005A670B" w:rsidRPr="00746C01" w:rsidRDefault="005A670B" w:rsidP="005A670B">
      <w:pPr>
        <w:pStyle w:val="Bodyparagraph"/>
        <w:ind w:left="567"/>
        <w:rPr>
          <w:szCs w:val="22"/>
        </w:rPr>
      </w:pPr>
      <w:r w:rsidRPr="00746C01">
        <w:rPr>
          <w:szCs w:val="22"/>
        </w:rPr>
        <w:t xml:space="preserve">EFRAG has assessed the different tools that both standards offer to mitigate accounting mismatches. EFRAG assesses that: </w:t>
      </w:r>
    </w:p>
    <w:p w14:paraId="2FDDDB5D" w14:textId="3BC22DB9" w:rsidR="005A670B" w:rsidRPr="005A670B" w:rsidRDefault="005A670B" w:rsidP="005A670B">
      <w:pPr>
        <w:pStyle w:val="Normalnumberedlevel2"/>
      </w:pPr>
      <w:r w:rsidRPr="005A670B">
        <w:t xml:space="preserve">there is no conceptual barrier against the application of hedge accounting in the context of IFRS 17. However, given the lack of experience and systems by the industry, it would require significant investment both in time and systems development to achieve hedge accounting in this context (Appendix III, </w:t>
      </w:r>
      <w:r w:rsidR="00922CEC">
        <w:t>A</w:t>
      </w:r>
      <w:r w:rsidRPr="005A670B">
        <w:t>nnex</w:t>
      </w:r>
      <w:r w:rsidR="003B757D">
        <w:t> </w:t>
      </w:r>
      <w:r w:rsidR="00922CEC">
        <w:t>5</w:t>
      </w:r>
      <w:proofErr w:type="gramStart"/>
      <w:r w:rsidRPr="005A670B">
        <w:t>);</w:t>
      </w:r>
      <w:proofErr w:type="gramEnd"/>
      <w:r w:rsidRPr="005A670B">
        <w:t xml:space="preserve"> </w:t>
      </w:r>
    </w:p>
    <w:p w14:paraId="6D3554CD" w14:textId="77777777" w:rsidR="005A670B" w:rsidRPr="005A670B" w:rsidRDefault="005A670B" w:rsidP="005A670B">
      <w:pPr>
        <w:pStyle w:val="Normalnumberedlevel2"/>
      </w:pPr>
      <w:r w:rsidRPr="005A670B">
        <w:t>the treatment of OCI balances and risk mitigation at transition will not, on balance, negatively impact the usefulness of the resulting information.</w:t>
      </w:r>
    </w:p>
    <w:p w14:paraId="39E62757" w14:textId="36A4B497" w:rsidR="00657CC4" w:rsidRDefault="00F82113" w:rsidP="00F81242">
      <w:pPr>
        <w:pStyle w:val="Normalnumberedlevel1"/>
        <w:numPr>
          <w:ilvl w:val="0"/>
          <w:numId w:val="0"/>
        </w:numPr>
        <w:ind w:left="567"/>
      </w:pPr>
      <w:r>
        <w:t xml:space="preserve">(a) </w:t>
      </w:r>
      <w:r w:rsidR="00657CC4" w:rsidRPr="007E3CCB">
        <w:t>Do you agree with th</w:t>
      </w:r>
      <w:r w:rsidR="00860D42">
        <w:t>e</w:t>
      </w:r>
      <w:r w:rsidR="00657CC4" w:rsidRPr="007E3CCB">
        <w:t xml:space="preserve"> assessment</w:t>
      </w:r>
      <w:r w:rsidR="00860D42">
        <w:t xml:space="preserve"> on the application of hedge accounting</w:t>
      </w:r>
      <w:r w:rsidR="00657CC4" w:rsidRPr="007E3CCB">
        <w:t>?</w:t>
      </w:r>
      <w:r w:rsidR="00657CC4">
        <w:t xml:space="preserve"> </w:t>
      </w:r>
    </w:p>
    <w:p w14:paraId="4D7FFBB6" w14:textId="77777777" w:rsidR="00657CC4" w:rsidRPr="00715A3E" w:rsidRDefault="00657CC4" w:rsidP="00F81242">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No</w:t>
      </w:r>
    </w:p>
    <w:p w14:paraId="1B99E402" w14:textId="29740330" w:rsidR="00995A8A" w:rsidRDefault="00995A8A" w:rsidP="00252EC6">
      <w:pPr>
        <w:pStyle w:val="Normalnumberedlevel3"/>
        <w:tabs>
          <w:tab w:val="clear" w:pos="1134"/>
          <w:tab w:val="clear" w:pos="1701"/>
        </w:tabs>
        <w:ind w:left="1134"/>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r>
        <w:t xml:space="preserve"> </w:t>
      </w:r>
    </w:p>
    <w:p w14:paraId="79CCDBFE" w14:textId="640F18BB" w:rsidR="00995A8A" w:rsidRDefault="00995A8A" w:rsidP="00252EC6">
      <w:pPr>
        <w:pStyle w:val="Normalnumberedlevel3"/>
        <w:tabs>
          <w:tab w:val="clear" w:pos="1134"/>
          <w:tab w:val="clear" w:pos="1701"/>
        </w:tabs>
        <w:ind w:left="1134"/>
      </w:pPr>
      <w:r>
        <w:t>D</w:t>
      </w:r>
      <w:r w:rsidRPr="00374A92">
        <w:t>o you have any other observation</w:t>
      </w:r>
      <w:r>
        <w:t>s</w:t>
      </w:r>
      <w:r w:rsidRPr="00374A92">
        <w:t xml:space="preserve"> that you think is relevant for EFRAG’s endorsement assessment on this topic? Please </w:t>
      </w:r>
      <w:r>
        <w:t>explain.</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657CC4" w:rsidRPr="001308F4" w14:paraId="6C664122" w14:textId="77777777" w:rsidTr="00DD7EB4">
        <w:trPr>
          <w:trHeight w:val="676"/>
        </w:trPr>
        <w:tc>
          <w:tcPr>
            <w:tcW w:w="8154" w:type="dxa"/>
          </w:tcPr>
          <w:p w14:paraId="0A54A5B8" w14:textId="77777777" w:rsidR="00657CC4" w:rsidRPr="001308F4" w:rsidRDefault="00657CC4" w:rsidP="00DD7EB4">
            <w:pPr>
              <w:pStyle w:val="Bodyparagraph"/>
              <w:rPr>
                <w:highlight w:val="yellow"/>
              </w:rPr>
            </w:pPr>
          </w:p>
        </w:tc>
      </w:tr>
    </w:tbl>
    <w:p w14:paraId="6DB67781" w14:textId="54E8DC93" w:rsidR="00860D42" w:rsidRDefault="00F82113" w:rsidP="00860D42">
      <w:pPr>
        <w:pStyle w:val="Normalnumberedlevel1"/>
        <w:numPr>
          <w:ilvl w:val="0"/>
          <w:numId w:val="0"/>
        </w:numPr>
        <w:ind w:left="567"/>
      </w:pPr>
      <w:r>
        <w:t xml:space="preserve">(b) </w:t>
      </w:r>
      <w:r w:rsidR="00860D42" w:rsidRPr="007E3CCB">
        <w:t>Do you agree with th</w:t>
      </w:r>
      <w:r w:rsidR="00860D42">
        <w:t>e</w:t>
      </w:r>
      <w:r w:rsidR="00860D42" w:rsidRPr="007E3CCB">
        <w:t xml:space="preserve"> assessment</w:t>
      </w:r>
      <w:r w:rsidR="00860D42">
        <w:t xml:space="preserve"> on the treatment of OCI-balances and risk mitigation</w:t>
      </w:r>
      <w:r w:rsidR="00860D42" w:rsidRPr="007E3CCB">
        <w:t>?</w:t>
      </w:r>
      <w:r w:rsidR="00860D42">
        <w:t xml:space="preserve"> </w:t>
      </w:r>
    </w:p>
    <w:p w14:paraId="0C1383B5" w14:textId="77777777" w:rsidR="00860D42" w:rsidRPr="00715A3E" w:rsidRDefault="00860D42" w:rsidP="00860D42">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No</w:t>
      </w:r>
    </w:p>
    <w:p w14:paraId="4C2F449D" w14:textId="7CD91BB4" w:rsidR="00995A8A" w:rsidRDefault="00995A8A" w:rsidP="00EE39AA">
      <w:pPr>
        <w:pStyle w:val="Normalnumberedlevel3"/>
        <w:numPr>
          <w:ilvl w:val="2"/>
          <w:numId w:val="13"/>
        </w:numPr>
        <w:tabs>
          <w:tab w:val="clear" w:pos="567"/>
          <w:tab w:val="clear" w:pos="1134"/>
          <w:tab w:val="clear" w:pos="1701"/>
        </w:tabs>
        <w:ind w:left="1134"/>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r>
        <w:t xml:space="preserve"> </w:t>
      </w:r>
    </w:p>
    <w:p w14:paraId="4C6814E0" w14:textId="46B603A7" w:rsidR="00995A8A" w:rsidRDefault="00995A8A" w:rsidP="00252EC6">
      <w:pPr>
        <w:pStyle w:val="Normalnumberedlevel3"/>
        <w:tabs>
          <w:tab w:val="clear" w:pos="1134"/>
          <w:tab w:val="clear" w:pos="1701"/>
        </w:tabs>
        <w:ind w:left="1134"/>
      </w:pPr>
      <w:r>
        <w:t>D</w:t>
      </w:r>
      <w:r w:rsidRPr="00374A92">
        <w:t>o you have any other observation</w:t>
      </w:r>
      <w:r>
        <w:t>s</w:t>
      </w:r>
      <w:r w:rsidRPr="00374A92">
        <w:t xml:space="preserve"> that you think is relevant for EFRAG’s endorsement assessment on this topic? Please </w:t>
      </w:r>
      <w:r>
        <w:t>explain.</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860D42" w:rsidRPr="001308F4" w14:paraId="217C7642" w14:textId="77777777" w:rsidTr="00885273">
        <w:trPr>
          <w:trHeight w:val="676"/>
        </w:trPr>
        <w:tc>
          <w:tcPr>
            <w:tcW w:w="8154" w:type="dxa"/>
          </w:tcPr>
          <w:p w14:paraId="00DFB702" w14:textId="77777777" w:rsidR="00860D42" w:rsidRPr="001308F4" w:rsidRDefault="00860D42" w:rsidP="00885273">
            <w:pPr>
              <w:pStyle w:val="Bodyparagraph"/>
              <w:rPr>
                <w:highlight w:val="yellow"/>
              </w:rPr>
            </w:pPr>
          </w:p>
        </w:tc>
      </w:tr>
    </w:tbl>
    <w:p w14:paraId="4A2F06FC" w14:textId="5CA5B7F3" w:rsidR="0011444C" w:rsidRPr="0011444C" w:rsidRDefault="00483E5D" w:rsidP="00A22430">
      <w:pPr>
        <w:pStyle w:val="Heading4"/>
      </w:pPr>
      <w:r>
        <w:lastRenderedPageBreak/>
        <w:t>Application of IFRS 15</w:t>
      </w:r>
    </w:p>
    <w:p w14:paraId="6A95F12E" w14:textId="336F51FD" w:rsidR="005A670B" w:rsidRDefault="007C46BD" w:rsidP="00657CC4">
      <w:pPr>
        <w:pStyle w:val="Normalnumberedlevel1"/>
      </w:pPr>
      <w:r w:rsidRPr="007C46BD">
        <w:t>In some instances, an entity (including insurers) may choose to apply IFRS 15 instead of IFRS 17 to contracts that meet the definition of an insurance contract but that have as their primary purpose the provision of services for a fixed fee. EFRAG concludes that this option would probably be made by those entities that do not operate in the insurance business. EFRAG concludes that for these entities accounting for these contracts in the same way as for other contracts would provide useful information and that applying IFRS 17 to these contracts would impose costs for no significant benefit (Appendix III paragraphs 68 to 76).</w:t>
      </w:r>
    </w:p>
    <w:p w14:paraId="34ED1FD4" w14:textId="7CA54005" w:rsidR="00657CC4" w:rsidRDefault="00657CC4" w:rsidP="007C46BD">
      <w:pPr>
        <w:pStyle w:val="Normalnumberedlevel1"/>
        <w:numPr>
          <w:ilvl w:val="0"/>
          <w:numId w:val="0"/>
        </w:numPr>
        <w:ind w:left="567"/>
      </w:pPr>
      <w:r w:rsidRPr="007E3CCB">
        <w:t>Do you agree with th</w:t>
      </w:r>
      <w:r>
        <w:t>is</w:t>
      </w:r>
      <w:r w:rsidRPr="007E3CCB">
        <w:t xml:space="preserve"> assessment?</w:t>
      </w:r>
      <w:r>
        <w:t xml:space="preserve"> </w:t>
      </w:r>
    </w:p>
    <w:p w14:paraId="07EAE3F5" w14:textId="77777777" w:rsidR="00657CC4" w:rsidRPr="00715A3E" w:rsidRDefault="00657CC4" w:rsidP="007C46BD">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No</w:t>
      </w:r>
    </w:p>
    <w:p w14:paraId="5937DC9C" w14:textId="77777777" w:rsidR="00657CC4" w:rsidRDefault="00657CC4" w:rsidP="007C46BD">
      <w:pPr>
        <w:pStyle w:val="Normalnumberedlevel1"/>
        <w:numPr>
          <w:ilvl w:val="0"/>
          <w:numId w:val="0"/>
        </w:numPr>
        <w:ind w:left="567"/>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657CC4" w:rsidRPr="001308F4" w14:paraId="4610828E" w14:textId="77777777" w:rsidTr="00DD7EB4">
        <w:trPr>
          <w:trHeight w:val="676"/>
        </w:trPr>
        <w:tc>
          <w:tcPr>
            <w:tcW w:w="8154" w:type="dxa"/>
          </w:tcPr>
          <w:p w14:paraId="4F1725C3" w14:textId="77777777" w:rsidR="00657CC4" w:rsidRPr="001308F4" w:rsidRDefault="00657CC4" w:rsidP="00DD7EB4">
            <w:pPr>
              <w:pStyle w:val="Bodyparagraph"/>
              <w:rPr>
                <w:highlight w:val="yellow"/>
              </w:rPr>
            </w:pPr>
          </w:p>
        </w:tc>
      </w:tr>
    </w:tbl>
    <w:p w14:paraId="142431A1" w14:textId="5CDC431A" w:rsidR="0011444C" w:rsidRPr="0011444C" w:rsidRDefault="001B15FB" w:rsidP="00A22430">
      <w:pPr>
        <w:pStyle w:val="Heading4"/>
      </w:pPr>
      <w:r>
        <w:t>Implications of transitional requirements</w:t>
      </w:r>
    </w:p>
    <w:p w14:paraId="71E2F384" w14:textId="6E57CDF5" w:rsidR="007C46BD" w:rsidRDefault="0045457E" w:rsidP="00657CC4">
      <w:pPr>
        <w:pStyle w:val="Normalnumberedlevel1"/>
      </w:pPr>
      <w:r w:rsidRPr="0045457E">
        <w:t>Considering the extent of the information available for each particular group of insurance contracts at transition, EFRAG assesses that the existence of three transition approaches does not result in a lack of relevant information. The alleviations granted under the modified retrospective approach are still leading to relevant information as they enable achieving the closest outcome to a full retrospective application without undue cost or effort. In addition, EFRAG acknowledges that the possible use of three different transition methods may affect comparability among entities and, for long-term contracts, over time. However, the practical benefits of the modified retrospective and fair value approach, which were introduced by the IASB to respond to operational concerns of the preparers, may justify the reduced comparability (Appendix II paragraphs 129 to 155, 228 to 237, 300 to 303, 372 to 374, 398 to 400).</w:t>
      </w:r>
    </w:p>
    <w:p w14:paraId="7CED3415" w14:textId="77777777" w:rsidR="00657CC4" w:rsidRDefault="00657CC4" w:rsidP="0045457E">
      <w:pPr>
        <w:pStyle w:val="Normalnumberedlevel1"/>
        <w:numPr>
          <w:ilvl w:val="0"/>
          <w:numId w:val="0"/>
        </w:numPr>
        <w:ind w:left="567"/>
      </w:pPr>
      <w:r w:rsidRPr="007E3CCB">
        <w:t>Do you agree with th</w:t>
      </w:r>
      <w:r>
        <w:t>is</w:t>
      </w:r>
      <w:r w:rsidRPr="007E3CCB">
        <w:t xml:space="preserve"> assessment?</w:t>
      </w:r>
      <w:r>
        <w:t xml:space="preserve"> </w:t>
      </w:r>
    </w:p>
    <w:p w14:paraId="32F413A6" w14:textId="77777777" w:rsidR="00657CC4" w:rsidRPr="00715A3E" w:rsidRDefault="00657CC4" w:rsidP="0045457E">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No</w:t>
      </w:r>
    </w:p>
    <w:p w14:paraId="58A29142" w14:textId="77777777" w:rsidR="00657CC4" w:rsidRDefault="00657CC4" w:rsidP="0045457E">
      <w:pPr>
        <w:pStyle w:val="Normalnumberedlevel1"/>
        <w:numPr>
          <w:ilvl w:val="0"/>
          <w:numId w:val="0"/>
        </w:numPr>
        <w:ind w:left="567"/>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657CC4" w:rsidRPr="001308F4" w14:paraId="1FC8B31B" w14:textId="77777777" w:rsidTr="00DD7EB4">
        <w:trPr>
          <w:trHeight w:val="676"/>
        </w:trPr>
        <w:tc>
          <w:tcPr>
            <w:tcW w:w="8154" w:type="dxa"/>
          </w:tcPr>
          <w:p w14:paraId="6FAB7587" w14:textId="77777777" w:rsidR="00657CC4" w:rsidRPr="001308F4" w:rsidRDefault="00657CC4" w:rsidP="00DD7EB4">
            <w:pPr>
              <w:pStyle w:val="Bodyparagraph"/>
              <w:rPr>
                <w:highlight w:val="yellow"/>
              </w:rPr>
            </w:pPr>
          </w:p>
        </w:tc>
      </w:tr>
    </w:tbl>
    <w:p w14:paraId="6F7325C0" w14:textId="6C90809A" w:rsidR="0011444C" w:rsidRPr="0011444C" w:rsidRDefault="001B15FB" w:rsidP="00A22430">
      <w:pPr>
        <w:pStyle w:val="Heading4"/>
      </w:pPr>
      <w:r>
        <w:t xml:space="preserve">Impact on </w:t>
      </w:r>
      <w:r w:rsidR="00236B1D">
        <w:t>reinsurance</w:t>
      </w:r>
    </w:p>
    <w:p w14:paraId="2DABB3F6" w14:textId="445CDFDF" w:rsidR="0045457E" w:rsidRDefault="004816C2" w:rsidP="00657CC4">
      <w:pPr>
        <w:pStyle w:val="Normalnumberedlevel1"/>
      </w:pPr>
      <w:r w:rsidRPr="004816C2">
        <w:t xml:space="preserve">EFRAG concludes that the separate treatment under IFRS 17 of reinsurance </w:t>
      </w:r>
      <w:r w:rsidR="00A40E98">
        <w:t>contracts held</w:t>
      </w:r>
      <w:r w:rsidR="00A40E98" w:rsidRPr="004816C2">
        <w:t xml:space="preserve"> </w:t>
      </w:r>
      <w:r w:rsidRPr="004816C2">
        <w:t xml:space="preserve">and </w:t>
      </w:r>
      <w:r w:rsidR="005B75BA">
        <w:t>underlying direct contracts</w:t>
      </w:r>
      <w:r w:rsidRPr="004816C2">
        <w:t xml:space="preserve"> reflects the rights and obligations of different and separate contractual positions. Furthermore, EFRAG acknowledges that reinsurance contracts issued or held may meet the variable fee criteria even though IFRS 17 states that they cannot be insurance contracts with direct participation features. However, EFRAG assesses that the risk mitigation option would largely address the accounting mismatches, thereby balancing relevant information. In addition, for reinsurance contracts held that are used to recover losses from the underlying contracts, EFRAG considers that the Amendments provide relevant information as they aim at reducing accounting mismatches which is present under the original version of the Standard (Appendix II paragraphs 63 to 74, 210 to 216, 274 to 275, 349 to 352, 395 to 397).</w:t>
      </w:r>
    </w:p>
    <w:p w14:paraId="7E11FABD" w14:textId="7CCF097B" w:rsidR="00657CC4" w:rsidRDefault="00657CC4" w:rsidP="004816C2">
      <w:pPr>
        <w:pStyle w:val="Normalnumberedlevel1"/>
        <w:numPr>
          <w:ilvl w:val="0"/>
          <w:numId w:val="0"/>
        </w:numPr>
        <w:ind w:left="567"/>
      </w:pPr>
      <w:r w:rsidRPr="007E3CCB">
        <w:lastRenderedPageBreak/>
        <w:t>Do you agree with th</w:t>
      </w:r>
      <w:r>
        <w:t>is</w:t>
      </w:r>
      <w:r w:rsidRPr="007E3CCB">
        <w:t xml:space="preserve"> assessment?</w:t>
      </w:r>
      <w:r>
        <w:t xml:space="preserve"> </w:t>
      </w:r>
    </w:p>
    <w:p w14:paraId="12CD29A9" w14:textId="77777777" w:rsidR="00657CC4" w:rsidRPr="00715A3E" w:rsidRDefault="00657CC4" w:rsidP="004816C2">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No</w:t>
      </w:r>
    </w:p>
    <w:p w14:paraId="63C3FBC1" w14:textId="77777777" w:rsidR="00657CC4" w:rsidRDefault="00657CC4" w:rsidP="004816C2">
      <w:pPr>
        <w:pStyle w:val="Normalnumberedlevel1"/>
        <w:numPr>
          <w:ilvl w:val="0"/>
          <w:numId w:val="0"/>
        </w:numPr>
        <w:ind w:left="567"/>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657CC4" w:rsidRPr="001308F4" w14:paraId="787D12C8" w14:textId="77777777" w:rsidTr="00DD7EB4">
        <w:trPr>
          <w:trHeight w:val="676"/>
        </w:trPr>
        <w:tc>
          <w:tcPr>
            <w:tcW w:w="8154" w:type="dxa"/>
          </w:tcPr>
          <w:p w14:paraId="709E0044" w14:textId="77777777" w:rsidR="00657CC4" w:rsidRPr="001308F4" w:rsidRDefault="00657CC4" w:rsidP="00DD7EB4">
            <w:pPr>
              <w:pStyle w:val="Bodyparagraph"/>
              <w:rPr>
                <w:highlight w:val="yellow"/>
              </w:rPr>
            </w:pPr>
          </w:p>
        </w:tc>
      </w:tr>
    </w:tbl>
    <w:p w14:paraId="3AF56BC3" w14:textId="5B776A1C" w:rsidR="0011444C" w:rsidRPr="0011444C" w:rsidRDefault="00236B1D" w:rsidP="00A22430">
      <w:pPr>
        <w:pStyle w:val="Heading4"/>
      </w:pPr>
      <w:r>
        <w:t>Implementation timeline</w:t>
      </w:r>
    </w:p>
    <w:p w14:paraId="3EB3B980" w14:textId="091AD822" w:rsidR="004816C2" w:rsidRDefault="00C964F8" w:rsidP="00657CC4">
      <w:pPr>
        <w:pStyle w:val="Normalnumberedlevel1"/>
      </w:pPr>
      <w:r w:rsidRPr="00C964F8">
        <w:t>Feedback from the Limited Update to the Case Studies shows that the delay to the effective date of IFRS 17 to 1 January 2023 results in higher one-off implementation costs for preparers. However, the delay is also helping preparers to adjust their project approaches to the operational difficulties of the Covid-19 crisis. EFRAG understands from preparers that they may choose to avoid these costs by revisiting solution designs or may make more use of internal (cheaper) resources. Furthermore, according to the Limited Update to the Case Studies and other feedback from insurance associations, most of the participants did not intend to early apply IFRS 17, whereas a small minority wanted to have this possibility. EFRAG is not aware of any European insurer having taken a firm commitment to early apply the Standard. Finally, EFRAG notes that IFRS 17 requires a presentation of restated comparative information when applying the Standard for the first time. However, IFRS</w:t>
      </w:r>
      <w:r w:rsidR="005C1D59">
        <w:t> </w:t>
      </w:r>
      <w:r w:rsidRPr="00C964F8">
        <w:t>9 does not have similar requirements for financial assets and liabilities (Appendix III paragraphs and 609 to 613).</w:t>
      </w:r>
    </w:p>
    <w:p w14:paraId="3322F1E8" w14:textId="67B0D015" w:rsidR="00657CC4" w:rsidRDefault="00774D51" w:rsidP="00557E89">
      <w:pPr>
        <w:pStyle w:val="Normalnumberedlevel1"/>
        <w:numPr>
          <w:ilvl w:val="0"/>
          <w:numId w:val="0"/>
        </w:numPr>
        <w:ind w:left="567"/>
      </w:pPr>
      <w:r>
        <w:t xml:space="preserve">(a) </w:t>
      </w:r>
      <w:r w:rsidR="00657CC4" w:rsidRPr="007E3CCB">
        <w:t>Do you agree with th</w:t>
      </w:r>
      <w:r w:rsidR="00724D47">
        <w:t>e</w:t>
      </w:r>
      <w:r w:rsidR="00657CC4" w:rsidRPr="007E3CCB">
        <w:t xml:space="preserve"> assessment</w:t>
      </w:r>
      <w:r w:rsidR="00724D47">
        <w:t xml:space="preserve"> relating to delay of </w:t>
      </w:r>
      <w:r>
        <w:t xml:space="preserve">IFRS 17 </w:t>
      </w:r>
      <w:r w:rsidR="00724D47">
        <w:t>implementation till 2023</w:t>
      </w:r>
      <w:r w:rsidR="00657CC4" w:rsidRPr="007E3CCB">
        <w:t>?</w:t>
      </w:r>
      <w:r w:rsidR="00657CC4">
        <w:t xml:space="preserve"> </w:t>
      </w:r>
    </w:p>
    <w:p w14:paraId="5EA7298C" w14:textId="77777777" w:rsidR="00657CC4" w:rsidRPr="00715A3E" w:rsidRDefault="00657CC4" w:rsidP="00557E89">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No</w:t>
      </w:r>
    </w:p>
    <w:p w14:paraId="2DC0C42A" w14:textId="6BB681D8" w:rsidR="00737EB0" w:rsidRDefault="00737EB0" w:rsidP="00252EC6">
      <w:pPr>
        <w:pStyle w:val="Normalnumberedlevel3"/>
        <w:tabs>
          <w:tab w:val="clear" w:pos="1134"/>
          <w:tab w:val="clear" w:pos="1701"/>
        </w:tabs>
        <w:ind w:left="1134"/>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r>
        <w:t xml:space="preserve"> </w:t>
      </w:r>
    </w:p>
    <w:p w14:paraId="573253A0" w14:textId="1ABA7525" w:rsidR="00737EB0" w:rsidRDefault="00737EB0" w:rsidP="00252EC6">
      <w:pPr>
        <w:pStyle w:val="Normalnumberedlevel3"/>
        <w:tabs>
          <w:tab w:val="clear" w:pos="1134"/>
          <w:tab w:val="clear" w:pos="1701"/>
        </w:tabs>
        <w:ind w:left="1134"/>
      </w:pPr>
      <w:r>
        <w:t>D</w:t>
      </w:r>
      <w:r w:rsidRPr="00374A92">
        <w:t>o you have any other observation</w:t>
      </w:r>
      <w:r>
        <w:t>s</w:t>
      </w:r>
      <w:r w:rsidRPr="00374A92">
        <w:t xml:space="preserve"> that you think is relevant for EFRAG’s endorsement assessment on this topic? Please </w:t>
      </w:r>
      <w:r>
        <w:t>explain.</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657CC4" w:rsidRPr="001308F4" w14:paraId="026BB6F4" w14:textId="77777777" w:rsidTr="00DD7EB4">
        <w:trPr>
          <w:trHeight w:val="676"/>
        </w:trPr>
        <w:tc>
          <w:tcPr>
            <w:tcW w:w="8154" w:type="dxa"/>
          </w:tcPr>
          <w:p w14:paraId="4D459B82" w14:textId="77777777" w:rsidR="00657CC4" w:rsidRPr="001308F4" w:rsidRDefault="00657CC4" w:rsidP="00DD7EB4">
            <w:pPr>
              <w:pStyle w:val="Bodyparagraph"/>
              <w:rPr>
                <w:highlight w:val="yellow"/>
              </w:rPr>
            </w:pPr>
          </w:p>
        </w:tc>
      </w:tr>
    </w:tbl>
    <w:p w14:paraId="5D837C47" w14:textId="179B0F7C" w:rsidR="000D7D96" w:rsidRDefault="00774D51" w:rsidP="00356FDD">
      <w:pPr>
        <w:pStyle w:val="Normalnumberedlevel1"/>
        <w:numPr>
          <w:ilvl w:val="0"/>
          <w:numId w:val="0"/>
        </w:numPr>
        <w:ind w:left="567"/>
      </w:pPr>
      <w:r>
        <w:t xml:space="preserve">(b) </w:t>
      </w:r>
      <w:r w:rsidR="000D7D96" w:rsidRPr="007E3CCB">
        <w:t>Do you agree with t</w:t>
      </w:r>
      <w:r w:rsidR="00724D47">
        <w:t>he</w:t>
      </w:r>
      <w:r w:rsidR="000D7D96" w:rsidRPr="007E3CCB">
        <w:t xml:space="preserve"> assessment</w:t>
      </w:r>
      <w:r w:rsidR="00724D47">
        <w:t xml:space="preserve"> relating to </w:t>
      </w:r>
      <w:r w:rsidR="00590996">
        <w:t>early application</w:t>
      </w:r>
      <w:r w:rsidR="000D7D96" w:rsidRPr="007E3CCB">
        <w:t>?</w:t>
      </w:r>
      <w:r w:rsidR="000D7D96">
        <w:t xml:space="preserve"> </w:t>
      </w:r>
    </w:p>
    <w:p w14:paraId="1843970C" w14:textId="77777777" w:rsidR="000D7D96" w:rsidRPr="00715A3E" w:rsidRDefault="000D7D96" w:rsidP="00356FDD">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525493">
        <w:fldChar w:fldCharType="separate"/>
      </w:r>
      <w:r w:rsidRPr="00715A3E">
        <w:fldChar w:fldCharType="end"/>
      </w:r>
      <w:r w:rsidRPr="00715A3E">
        <w:t xml:space="preserve"> No</w:t>
      </w:r>
    </w:p>
    <w:p w14:paraId="54B63546" w14:textId="55CC60DE" w:rsidR="00737EB0" w:rsidRDefault="00737EB0" w:rsidP="008C4ECF">
      <w:pPr>
        <w:pStyle w:val="Normalnumberedlevel3"/>
        <w:numPr>
          <w:ilvl w:val="2"/>
          <w:numId w:val="14"/>
        </w:numPr>
        <w:tabs>
          <w:tab w:val="clear" w:pos="567"/>
          <w:tab w:val="clear" w:pos="1701"/>
        </w:tabs>
        <w:ind w:left="1134"/>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r>
        <w:t xml:space="preserve"> </w:t>
      </w:r>
    </w:p>
    <w:p w14:paraId="08418D0A" w14:textId="5CF7893F" w:rsidR="00252EC6" w:rsidRDefault="00252EC6" w:rsidP="00252EC6">
      <w:pPr>
        <w:pStyle w:val="Normalnumberedlevel3"/>
        <w:tabs>
          <w:tab w:val="clear" w:pos="1134"/>
          <w:tab w:val="clear" w:pos="1701"/>
        </w:tabs>
        <w:ind w:left="1134"/>
      </w:pPr>
      <w:r>
        <w:t>D</w:t>
      </w:r>
      <w:r w:rsidRPr="00374A92">
        <w:t>o you have any other observation</w:t>
      </w:r>
      <w:r>
        <w:t>s</w:t>
      </w:r>
      <w:r w:rsidRPr="00374A92">
        <w:t xml:space="preserve"> that you think is relevant for EFRAG’s endorsement assessment on this topic? Please </w:t>
      </w:r>
      <w:r>
        <w:t>explain.</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0D7D96" w:rsidRPr="001308F4" w14:paraId="69E7900F" w14:textId="77777777" w:rsidTr="00885273">
        <w:trPr>
          <w:trHeight w:val="676"/>
        </w:trPr>
        <w:tc>
          <w:tcPr>
            <w:tcW w:w="8154" w:type="dxa"/>
          </w:tcPr>
          <w:p w14:paraId="34924180" w14:textId="77777777" w:rsidR="000D7D96" w:rsidRPr="001308F4" w:rsidRDefault="000D7D96" w:rsidP="00885273">
            <w:pPr>
              <w:pStyle w:val="Bodyparagraph"/>
              <w:rPr>
                <w:highlight w:val="yellow"/>
              </w:rPr>
            </w:pPr>
          </w:p>
        </w:tc>
      </w:tr>
    </w:tbl>
    <w:p w14:paraId="51CC1FD1" w14:textId="226AB121" w:rsidR="00822326" w:rsidRPr="00B757AB" w:rsidRDefault="00822326" w:rsidP="00B757AB">
      <w:pPr>
        <w:pStyle w:val="Normalnumberedlevel1"/>
      </w:pPr>
      <w:r w:rsidRPr="00B757AB">
        <w:t xml:space="preserve">Do you agree that there are no other factors to consider in assessing whether the endorsement of the </w:t>
      </w:r>
      <w:r w:rsidR="00A15289">
        <w:t>Standard</w:t>
      </w:r>
      <w:r w:rsidRPr="00B757AB">
        <w:t xml:space="preserve"> is conducive to the European public good? </w:t>
      </w:r>
    </w:p>
    <w:p w14:paraId="51CC1FD2" w14:textId="77777777" w:rsidR="00822326" w:rsidRPr="00B757AB" w:rsidRDefault="00822326" w:rsidP="00822326">
      <w:pPr>
        <w:pStyle w:val="Normaldenumblevel1"/>
      </w:pPr>
      <w:r w:rsidRPr="00B757AB">
        <w:fldChar w:fldCharType="begin">
          <w:ffData>
            <w:name w:val="Check1"/>
            <w:enabled/>
            <w:calcOnExit w:val="0"/>
            <w:checkBox>
              <w:sizeAuto/>
              <w:default w:val="0"/>
            </w:checkBox>
          </w:ffData>
        </w:fldChar>
      </w:r>
      <w:r w:rsidRPr="00B757AB">
        <w:instrText xml:space="preserve"> FORMCHECKBOX </w:instrText>
      </w:r>
      <w:r w:rsidR="00525493">
        <w:fldChar w:fldCharType="separate"/>
      </w:r>
      <w:r w:rsidRPr="00B757AB">
        <w:fldChar w:fldCharType="end"/>
      </w:r>
      <w:r w:rsidRPr="00B757AB">
        <w:t xml:space="preserve"> Yes</w:t>
      </w:r>
      <w:r w:rsidRPr="00B757AB">
        <w:tab/>
      </w:r>
      <w:r w:rsidRPr="00B757AB">
        <w:fldChar w:fldCharType="begin">
          <w:ffData>
            <w:name w:val="Check2"/>
            <w:enabled/>
            <w:calcOnExit w:val="0"/>
            <w:checkBox>
              <w:sizeAuto/>
              <w:default w:val="0"/>
            </w:checkBox>
          </w:ffData>
        </w:fldChar>
      </w:r>
      <w:r w:rsidRPr="00B757AB">
        <w:instrText xml:space="preserve"> FORMCHECKBOX </w:instrText>
      </w:r>
      <w:r w:rsidR="00525493">
        <w:fldChar w:fldCharType="separate"/>
      </w:r>
      <w:r w:rsidRPr="00B757AB">
        <w:fldChar w:fldCharType="end"/>
      </w:r>
      <w:r w:rsidRPr="00B757AB">
        <w:t xml:space="preserve"> No</w:t>
      </w:r>
    </w:p>
    <w:p w14:paraId="51CC1FD3" w14:textId="166EA6B2" w:rsidR="00822326" w:rsidRDefault="00822326" w:rsidP="00822326">
      <w:pPr>
        <w:pStyle w:val="Normaldenumblevel1"/>
      </w:pPr>
      <w:r w:rsidRPr="00B757AB">
        <w:t xml:space="preserve">If you do not agree, please identify the factors, provide your views on these </w:t>
      </w:r>
      <w:proofErr w:type="gramStart"/>
      <w:r w:rsidRPr="00B757AB">
        <w:t>factors</w:t>
      </w:r>
      <w:proofErr w:type="gramEnd"/>
      <w:r w:rsidRPr="00B757AB">
        <w:t xml:space="preserve">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822326" w:rsidRPr="00715A3E" w14:paraId="51CC1FD5" w14:textId="77777777" w:rsidTr="001E2EDC">
        <w:trPr>
          <w:trHeight w:val="636"/>
        </w:trPr>
        <w:tc>
          <w:tcPr>
            <w:tcW w:w="8154" w:type="dxa"/>
          </w:tcPr>
          <w:p w14:paraId="51CC1FD4" w14:textId="77777777" w:rsidR="00822326" w:rsidRPr="00715A3E" w:rsidRDefault="00822326" w:rsidP="00CE37B9">
            <w:pPr>
              <w:pStyle w:val="Bodyparagraph"/>
            </w:pPr>
          </w:p>
        </w:tc>
      </w:tr>
    </w:tbl>
    <w:p w14:paraId="2587DEDE" w14:textId="66811FB5" w:rsidR="009B1CFE" w:rsidRPr="00F37DEF" w:rsidRDefault="009B1CFE" w:rsidP="002325A4">
      <w:pPr>
        <w:pStyle w:val="Heading2"/>
        <w:jc w:val="both"/>
        <w:rPr>
          <w:rStyle w:val="normaltextrun"/>
          <w:szCs w:val="22"/>
        </w:rPr>
      </w:pPr>
      <w:r w:rsidRPr="001D2C49">
        <w:t>Part I</w:t>
      </w:r>
      <w:r w:rsidR="003134DF">
        <w:t>V</w:t>
      </w:r>
      <w:r w:rsidRPr="001D2C49">
        <w:t xml:space="preserve">: The questions in Part </w:t>
      </w:r>
      <w:r w:rsidR="00CF07F1">
        <w:t xml:space="preserve">IV aim at collecting constituents’ </w:t>
      </w:r>
      <w:r w:rsidR="004C5E27">
        <w:t xml:space="preserve">inputs (Questions to constituents </w:t>
      </w:r>
      <w:r w:rsidR="00DB0F2A">
        <w:t xml:space="preserve">in Annex 1) and </w:t>
      </w:r>
      <w:r w:rsidR="00CF07F1">
        <w:t xml:space="preserve">views </w:t>
      </w:r>
      <w:r w:rsidRPr="00B51E74">
        <w:rPr>
          <w:rStyle w:val="normaltextrun"/>
          <w:iCs w:val="0"/>
          <w:szCs w:val="22"/>
        </w:rPr>
        <w:t>relat</w:t>
      </w:r>
      <w:r w:rsidR="00CF07F1">
        <w:rPr>
          <w:rStyle w:val="normaltextrun"/>
          <w:iCs w:val="0"/>
          <w:szCs w:val="22"/>
        </w:rPr>
        <w:t>ing</w:t>
      </w:r>
      <w:r w:rsidRPr="00B51E74">
        <w:rPr>
          <w:rStyle w:val="normaltextrun"/>
          <w:iCs w:val="0"/>
          <w:szCs w:val="22"/>
        </w:rPr>
        <w:t xml:space="preserve"> to </w:t>
      </w:r>
      <w:r w:rsidR="00CF07F1">
        <w:rPr>
          <w:rStyle w:val="normaltextrun"/>
          <w:iCs w:val="0"/>
          <w:szCs w:val="22"/>
        </w:rPr>
        <w:t xml:space="preserve">the </w:t>
      </w:r>
      <w:r w:rsidRPr="00B51E74">
        <w:rPr>
          <w:rStyle w:val="normaltextrun"/>
          <w:iCs w:val="0"/>
          <w:szCs w:val="22"/>
        </w:rPr>
        <w:t xml:space="preserve">requirement in IFRS 17 </w:t>
      </w:r>
      <w:r w:rsidR="00CF07F1">
        <w:rPr>
          <w:rStyle w:val="normaltextrun"/>
          <w:iCs w:val="0"/>
          <w:szCs w:val="22"/>
        </w:rPr>
        <w:t xml:space="preserve">to apply </w:t>
      </w:r>
      <w:r w:rsidRPr="00B51E74">
        <w:rPr>
          <w:rStyle w:val="normaltextrun"/>
          <w:iCs w:val="0"/>
          <w:szCs w:val="22"/>
        </w:rPr>
        <w:t xml:space="preserve">annual cohorts to </w:t>
      </w:r>
      <w:bookmarkStart w:id="9" w:name="_Hlk51250738"/>
      <w:r w:rsidRPr="00B51E74">
        <w:rPr>
          <w:rStyle w:val="normaltextrun"/>
          <w:iCs w:val="0"/>
          <w:szCs w:val="22"/>
        </w:rPr>
        <w:t>intergenerationally mutualised and cash-flow matched contracts</w:t>
      </w:r>
      <w:r w:rsidR="004C5E27">
        <w:rPr>
          <w:rStyle w:val="normaltextrun"/>
          <w:iCs w:val="0"/>
          <w:szCs w:val="22"/>
        </w:rPr>
        <w:t xml:space="preserve"> </w:t>
      </w:r>
      <w:bookmarkEnd w:id="9"/>
    </w:p>
    <w:p w14:paraId="018E9850" w14:textId="3BD9D128" w:rsidR="00D344B9" w:rsidRDefault="00EC4FD1" w:rsidP="002F79DF">
      <w:pPr>
        <w:pStyle w:val="Normalnumberedlevel1"/>
        <w:numPr>
          <w:ilvl w:val="0"/>
          <w:numId w:val="0"/>
        </w:numPr>
        <w:tabs>
          <w:tab w:val="clear" w:pos="567"/>
        </w:tabs>
        <w:rPr>
          <w:i/>
          <w:iCs/>
        </w:rPr>
      </w:pPr>
      <w:r w:rsidRPr="00E13EBD">
        <w:rPr>
          <w:b/>
          <w:i/>
        </w:rPr>
        <w:t>Note</w:t>
      </w:r>
      <w:r>
        <w:rPr>
          <w:b/>
          <w:i/>
        </w:rPr>
        <w:t>s</w:t>
      </w:r>
      <w:r w:rsidRPr="00E13EBD">
        <w:rPr>
          <w:b/>
          <w:i/>
        </w:rPr>
        <w:t xml:space="preserve"> to the respondents:</w:t>
      </w:r>
      <w:r w:rsidRPr="00E13EBD">
        <w:rPr>
          <w:i/>
        </w:rPr>
        <w:t xml:space="preserve"> </w:t>
      </w:r>
      <w:r w:rsidR="00E02F6C">
        <w:rPr>
          <w:i/>
          <w:iCs/>
        </w:rPr>
        <w:t xml:space="preserve">Respondents are reminded that </w:t>
      </w:r>
      <w:r w:rsidR="00615BD8">
        <w:rPr>
          <w:i/>
          <w:iCs/>
        </w:rPr>
        <w:t xml:space="preserve">responses to this </w:t>
      </w:r>
      <w:r w:rsidR="002F431B">
        <w:rPr>
          <w:i/>
          <w:iCs/>
        </w:rPr>
        <w:t>Invitation to Comment</w:t>
      </w:r>
      <w:r w:rsidR="00615BD8">
        <w:rPr>
          <w:i/>
          <w:iCs/>
        </w:rPr>
        <w:t xml:space="preserve"> will be made public on EFRAG’s website. </w:t>
      </w:r>
      <w:r w:rsidR="00451D3B">
        <w:rPr>
          <w:i/>
          <w:iCs/>
        </w:rPr>
        <w:t xml:space="preserve">EFRAG is also inviting respondents to share </w:t>
      </w:r>
      <w:r w:rsidR="00615BD8">
        <w:rPr>
          <w:i/>
          <w:iCs/>
        </w:rPr>
        <w:t xml:space="preserve">quantitative data </w:t>
      </w:r>
      <w:r w:rsidR="00F538CB" w:rsidRPr="00F538CB">
        <w:rPr>
          <w:i/>
          <w:iCs/>
        </w:rPr>
        <w:t xml:space="preserve">and to allow confidentiality of this information, constituents are kindly invited to submit these data separately from the Invitation to Comment. Such quantitative data can be sent to </w:t>
      </w:r>
      <w:hyperlink r:id="rId12" w:history="1">
        <w:r w:rsidR="006766ED" w:rsidRPr="00557C59">
          <w:rPr>
            <w:rStyle w:val="Hyperlink"/>
            <w:i/>
            <w:iCs/>
          </w:rPr>
          <w:t>ifrs17secretariat@efrag.org</w:t>
        </w:r>
      </w:hyperlink>
      <w:r w:rsidR="00F538CB" w:rsidRPr="00F538CB">
        <w:rPr>
          <w:i/>
          <w:iCs/>
        </w:rPr>
        <w:t>. Only aggregated resulting data will be made public in the subsequent steps of the due process and will be presented in an anonymous way.</w:t>
      </w:r>
      <w:r w:rsidR="00F538CB">
        <w:rPr>
          <w:i/>
          <w:iCs/>
        </w:rPr>
        <w:t xml:space="preserve"> </w:t>
      </w:r>
    </w:p>
    <w:p w14:paraId="22702B63" w14:textId="4CC2DA44" w:rsidR="00EC4FD1" w:rsidRDefault="00A547AF" w:rsidP="002F79DF">
      <w:pPr>
        <w:pStyle w:val="Normalnumberedlevel1"/>
        <w:numPr>
          <w:ilvl w:val="0"/>
          <w:numId w:val="0"/>
        </w:numPr>
        <w:tabs>
          <w:tab w:val="clear" w:pos="567"/>
        </w:tabs>
        <w:rPr>
          <w:i/>
          <w:iCs/>
        </w:rPr>
      </w:pPr>
      <w:r>
        <w:rPr>
          <w:i/>
          <w:iCs/>
        </w:rPr>
        <w:t xml:space="preserve">The </w:t>
      </w:r>
      <w:r w:rsidRPr="00A547AF">
        <w:rPr>
          <w:i/>
          <w:iCs/>
        </w:rPr>
        <w:t>intergenerationally</w:t>
      </w:r>
      <w:r w:rsidR="00D344B9">
        <w:rPr>
          <w:i/>
          <w:iCs/>
        </w:rPr>
        <w:t>-</w:t>
      </w:r>
      <w:r w:rsidRPr="00A547AF">
        <w:rPr>
          <w:i/>
          <w:iCs/>
        </w:rPr>
        <w:t xml:space="preserve">mutualised and cash-flow matched contracts </w:t>
      </w:r>
      <w:r>
        <w:rPr>
          <w:i/>
          <w:iCs/>
        </w:rPr>
        <w:t>are</w:t>
      </w:r>
      <w:r w:rsidR="004E2A77" w:rsidRPr="004E2A77">
        <w:rPr>
          <w:i/>
          <w:iCs/>
        </w:rPr>
        <w:t xml:space="preserve"> </w:t>
      </w:r>
      <w:r w:rsidR="004C3AFC">
        <w:rPr>
          <w:i/>
          <w:iCs/>
        </w:rPr>
        <w:t>specified</w:t>
      </w:r>
      <w:r w:rsidR="004E2A77" w:rsidRPr="004E2A77">
        <w:rPr>
          <w:i/>
          <w:iCs/>
        </w:rPr>
        <w:t xml:space="preserve"> in paragraph 6 of Annex A within Annex 1</w:t>
      </w:r>
      <w:r w:rsidR="004C3AFC">
        <w:rPr>
          <w:i/>
          <w:iCs/>
        </w:rPr>
        <w:t>.</w:t>
      </w:r>
    </w:p>
    <w:p w14:paraId="72384098" w14:textId="22AF4065" w:rsidR="008F6587" w:rsidRDefault="008F6587" w:rsidP="008F6587">
      <w:pPr>
        <w:pStyle w:val="Normalnumberedlevel1"/>
      </w:pPr>
      <w:r>
        <w:t xml:space="preserve">As stated in </w:t>
      </w:r>
      <w:r w:rsidRPr="003978F2">
        <w:t>paragraphs 5</w:t>
      </w:r>
      <w:r>
        <w:t xml:space="preserve"> to </w:t>
      </w:r>
      <w:r w:rsidR="002E6EAC">
        <w:t>9</w:t>
      </w:r>
      <w:r>
        <w:t xml:space="preserve"> of Annex 1:</w:t>
      </w:r>
    </w:p>
    <w:p w14:paraId="2AA89DB2" w14:textId="1D6E6392" w:rsidR="00F91516" w:rsidRPr="00F91516" w:rsidRDefault="00F91516" w:rsidP="00D376F4">
      <w:pPr>
        <w:pStyle w:val="Normalnumberedlevel2"/>
      </w:pPr>
      <w:r w:rsidRPr="00F91516">
        <w:t xml:space="preserve">What is the portion of </w:t>
      </w:r>
      <w:r w:rsidR="00806D66" w:rsidRPr="00F91516">
        <w:t>intergenerational</w:t>
      </w:r>
      <w:r w:rsidR="00806D66">
        <w:t>ly-</w:t>
      </w:r>
      <w:r w:rsidRPr="00F91516">
        <w:t>mutualised contracts and cash</w:t>
      </w:r>
      <w:r w:rsidR="00806D66">
        <w:t>-</w:t>
      </w:r>
      <w:r w:rsidRPr="00F91516">
        <w:t>flow matched contracts of all life insurance liabilities and all insurance liabilities?</w:t>
      </w:r>
      <w:r w:rsidR="00015182">
        <w:t xml:space="preserve"> </w:t>
      </w:r>
      <w:r w:rsidR="00F50132" w:rsidRPr="00F50132">
        <w:t>Please report the results for these two types of contracts separately where relevant.</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8F6587" w:rsidRPr="00715A3E" w14:paraId="28DF5208" w14:textId="77777777" w:rsidTr="00B61EFE">
        <w:trPr>
          <w:trHeight w:val="676"/>
        </w:trPr>
        <w:tc>
          <w:tcPr>
            <w:tcW w:w="8154" w:type="dxa"/>
          </w:tcPr>
          <w:p w14:paraId="3B4A34FB" w14:textId="77777777" w:rsidR="008F6587" w:rsidRPr="00715A3E" w:rsidRDefault="008F6587" w:rsidP="00B61EFE">
            <w:pPr>
              <w:pStyle w:val="Normalnumberedlevel1"/>
              <w:numPr>
                <w:ilvl w:val="0"/>
                <w:numId w:val="0"/>
              </w:numPr>
              <w:ind w:left="567"/>
            </w:pPr>
          </w:p>
        </w:tc>
      </w:tr>
    </w:tbl>
    <w:p w14:paraId="4591A18E" w14:textId="2F05CFBB" w:rsidR="00BD6BEB" w:rsidRPr="00BD6BEB" w:rsidRDefault="000D3FC8" w:rsidP="00BD6BEB">
      <w:pPr>
        <w:pStyle w:val="Normalnumberedlevel2"/>
      </w:pPr>
      <w:r>
        <w:t xml:space="preserve"> </w:t>
      </w:r>
      <w:r w:rsidR="009B100B" w:rsidRPr="009B100B">
        <w:t xml:space="preserve">Please indicate the proportion of contracts with intergenerational mutualisation </w:t>
      </w:r>
      <w:r w:rsidR="000E338D">
        <w:t xml:space="preserve">(within the context of </w:t>
      </w:r>
      <w:r w:rsidR="00DC4659">
        <w:t xml:space="preserve">paragraphs B67-B71 of IFRS 17) </w:t>
      </w:r>
      <w:r w:rsidR="009B100B" w:rsidRPr="009B100B">
        <w:t>for which the requirement around annual cohorts is considered a significant issue.</w:t>
      </w:r>
      <w:r>
        <w:t xml:space="preserve"> </w:t>
      </w:r>
      <w:r w:rsidR="00BD6BEB" w:rsidRPr="00BD6BEB">
        <w:t xml:space="preserve">Please specify the share that would qualify for VFA.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8F6587" w:rsidRPr="00715A3E" w14:paraId="63D31A62" w14:textId="77777777" w:rsidTr="00B61EFE">
        <w:trPr>
          <w:trHeight w:val="676"/>
        </w:trPr>
        <w:tc>
          <w:tcPr>
            <w:tcW w:w="8154" w:type="dxa"/>
          </w:tcPr>
          <w:p w14:paraId="29DECFB5" w14:textId="77777777" w:rsidR="008F6587" w:rsidRPr="00715A3E" w:rsidRDefault="008F6587" w:rsidP="00B61EFE">
            <w:pPr>
              <w:pStyle w:val="Normalnumberedlevel1"/>
              <w:numPr>
                <w:ilvl w:val="0"/>
                <w:numId w:val="0"/>
              </w:numPr>
              <w:ind w:left="567"/>
            </w:pPr>
          </w:p>
        </w:tc>
      </w:tr>
    </w:tbl>
    <w:p w14:paraId="439BEFA4" w14:textId="11E01872" w:rsidR="00B55327" w:rsidRPr="00B55327" w:rsidRDefault="00053DCA" w:rsidP="00004706">
      <w:pPr>
        <w:pStyle w:val="Normalnumberedlevel2"/>
      </w:pPr>
      <w:r>
        <w:t xml:space="preserve">Please </w:t>
      </w:r>
      <w:r w:rsidR="00027DC1" w:rsidRPr="00027DC1">
        <w:t xml:space="preserve">describe the approach you envisage to implement </w:t>
      </w:r>
      <w:r w:rsidR="00130B3A">
        <w:t xml:space="preserve">the annual </w:t>
      </w:r>
      <w:proofErr w:type="gramStart"/>
      <w:r w:rsidR="00130B3A">
        <w:t>cohorts</w:t>
      </w:r>
      <w:proofErr w:type="gramEnd"/>
      <w:r w:rsidR="00027DC1" w:rsidRPr="00027DC1">
        <w:t xml:space="preserve"> requirement </w:t>
      </w:r>
      <w:r w:rsidR="00590DBE">
        <w:t>to</w:t>
      </w:r>
      <w:r w:rsidR="00027DC1" w:rsidRPr="00027DC1">
        <w:t xml:space="preserve"> </w:t>
      </w:r>
      <w:r w:rsidR="00EB52B3" w:rsidRPr="00B55327">
        <w:t>contracts with intergenerational</w:t>
      </w:r>
      <w:r w:rsidR="00426CB4">
        <w:t>ly-</w:t>
      </w:r>
      <w:r w:rsidR="00EB52B3" w:rsidRPr="00B55327">
        <w:t>mutualised contracts</w:t>
      </w:r>
      <w:r w:rsidR="00EB52B3">
        <w:t xml:space="preserve"> (within the context of paragraphs B67-B71 of IFRS 17)</w:t>
      </w:r>
      <w:r w:rsidR="00167CCB">
        <w:t>.</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8F6587" w:rsidRPr="00715A3E" w14:paraId="03FBB94D" w14:textId="77777777" w:rsidTr="00B61EFE">
        <w:trPr>
          <w:trHeight w:val="676"/>
        </w:trPr>
        <w:tc>
          <w:tcPr>
            <w:tcW w:w="8154" w:type="dxa"/>
          </w:tcPr>
          <w:p w14:paraId="2F2044CA" w14:textId="77777777" w:rsidR="008F6587" w:rsidRPr="00715A3E" w:rsidRDefault="008F6587" w:rsidP="00B61EFE">
            <w:pPr>
              <w:pStyle w:val="Normalnumberedlevel1"/>
              <w:numPr>
                <w:ilvl w:val="0"/>
                <w:numId w:val="0"/>
              </w:numPr>
              <w:ind w:left="567"/>
            </w:pPr>
          </w:p>
        </w:tc>
      </w:tr>
    </w:tbl>
    <w:p w14:paraId="1AD5F608" w14:textId="2B450511" w:rsidR="00B50F28" w:rsidRPr="009B100B" w:rsidRDefault="00B50F28" w:rsidP="00B50F28">
      <w:pPr>
        <w:pStyle w:val="Normalnumberedlevel2"/>
      </w:pPr>
      <w:r w:rsidRPr="009B100B">
        <w:t xml:space="preserve">Please indicate the proportion of </w:t>
      </w:r>
      <w:r>
        <w:t>cash</w:t>
      </w:r>
      <w:r w:rsidR="001970B3">
        <w:t>-</w:t>
      </w:r>
      <w:r>
        <w:t>flow matching</w:t>
      </w:r>
      <w:r w:rsidR="0066764A">
        <w:t xml:space="preserve"> contracts</w:t>
      </w:r>
      <w:r w:rsidRPr="009B100B">
        <w:t xml:space="preserve"> for which the requirement around annual cohorts is considered a significant issue.</w:t>
      </w:r>
      <w:r w:rsidR="0018214D" w:rsidRPr="00A2452F">
        <w:t xml:space="preserve"> </w:t>
      </w:r>
      <w:r w:rsidR="0018214D" w:rsidRPr="00A2452F">
        <w:rPr>
          <w:lang w:val="en-US"/>
        </w:rPr>
        <w:t>Please specify how the features of the contracts compare with the description provided in Annex A of Annex 1.</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B50F28" w:rsidRPr="00715A3E" w14:paraId="1372038F" w14:textId="77777777" w:rsidTr="00885273">
        <w:trPr>
          <w:trHeight w:val="676"/>
        </w:trPr>
        <w:tc>
          <w:tcPr>
            <w:tcW w:w="8154" w:type="dxa"/>
          </w:tcPr>
          <w:p w14:paraId="1D4C4EA6" w14:textId="77777777" w:rsidR="00B50F28" w:rsidRPr="00715A3E" w:rsidRDefault="00B50F28" w:rsidP="00885273">
            <w:pPr>
              <w:pStyle w:val="Normalnumberedlevel1"/>
              <w:numPr>
                <w:ilvl w:val="0"/>
                <w:numId w:val="0"/>
              </w:numPr>
              <w:ind w:left="567"/>
            </w:pPr>
          </w:p>
        </w:tc>
      </w:tr>
    </w:tbl>
    <w:p w14:paraId="17FF42D8" w14:textId="0321C3AA" w:rsidR="00B50F28" w:rsidRPr="00B55327" w:rsidRDefault="00EB52B3" w:rsidP="00B67471">
      <w:pPr>
        <w:pStyle w:val="Normalnumberedlevel2"/>
      </w:pPr>
      <w:r>
        <w:t xml:space="preserve">Please </w:t>
      </w:r>
      <w:r w:rsidR="00124583" w:rsidRPr="00027DC1">
        <w:t xml:space="preserve">describe the approach you envisage to implement </w:t>
      </w:r>
      <w:r w:rsidR="00130B3A">
        <w:t xml:space="preserve">the annual </w:t>
      </w:r>
      <w:proofErr w:type="gramStart"/>
      <w:r w:rsidR="00130B3A">
        <w:t>cohorts</w:t>
      </w:r>
      <w:proofErr w:type="gramEnd"/>
      <w:r w:rsidR="00124583" w:rsidRPr="00027DC1">
        <w:t xml:space="preserve"> requirement </w:t>
      </w:r>
      <w:r w:rsidR="00EE0524">
        <w:t>to</w:t>
      </w:r>
      <w:r w:rsidR="00124583" w:rsidRPr="00027DC1">
        <w:t xml:space="preserve"> </w:t>
      </w:r>
      <w:r>
        <w:t>cash-flow match</w:t>
      </w:r>
      <w:r w:rsidR="0067691D">
        <w:t>ed</w:t>
      </w:r>
      <w:r w:rsidR="00124583">
        <w:t xml:space="preserve"> contracts</w:t>
      </w:r>
      <w:r w:rsidR="0018214D">
        <w:t>.</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B50F28" w:rsidRPr="00715A3E" w14:paraId="346ED242" w14:textId="77777777" w:rsidTr="00885273">
        <w:trPr>
          <w:trHeight w:val="676"/>
        </w:trPr>
        <w:tc>
          <w:tcPr>
            <w:tcW w:w="8154" w:type="dxa"/>
          </w:tcPr>
          <w:p w14:paraId="36B40D4B" w14:textId="77777777" w:rsidR="00B50F28" w:rsidRPr="00715A3E" w:rsidRDefault="00B50F28" w:rsidP="00885273">
            <w:pPr>
              <w:pStyle w:val="Normalnumberedlevel1"/>
              <w:numPr>
                <w:ilvl w:val="0"/>
                <w:numId w:val="0"/>
              </w:numPr>
              <w:ind w:left="567"/>
            </w:pPr>
          </w:p>
        </w:tc>
      </w:tr>
    </w:tbl>
    <w:p w14:paraId="2613A8B0" w14:textId="3B1E024C" w:rsidR="001E2EDC" w:rsidRPr="0030440F" w:rsidRDefault="001D2C49" w:rsidP="00787B00">
      <w:pPr>
        <w:pStyle w:val="Heading2"/>
        <w:jc w:val="both"/>
      </w:pPr>
      <w:r>
        <w:lastRenderedPageBreak/>
        <w:t xml:space="preserve">Part </w:t>
      </w:r>
      <w:r w:rsidRPr="0030440F">
        <w:t xml:space="preserve">V: </w:t>
      </w:r>
      <w:r w:rsidR="001E2EDC" w:rsidRPr="0030440F">
        <w:t>Questions to Constituents raised in Appendix III</w:t>
      </w:r>
    </w:p>
    <w:p w14:paraId="31C3ABD1" w14:textId="2BFB4A12" w:rsidR="004D60A2" w:rsidRDefault="00605A9A" w:rsidP="00293FB0">
      <w:pPr>
        <w:pStyle w:val="Normalnumberedlevel1"/>
      </w:pPr>
      <w:r>
        <w:t xml:space="preserve">As stated in </w:t>
      </w:r>
      <w:r w:rsidR="004D60A2">
        <w:t xml:space="preserve">paragraphs 532 to 534 of </w:t>
      </w:r>
      <w:r>
        <w:t>Appendix III</w:t>
      </w:r>
      <w:r w:rsidR="004D60A2">
        <w:t>:</w:t>
      </w:r>
    </w:p>
    <w:p w14:paraId="5AB6A4C3" w14:textId="5696B905" w:rsidR="00293FB0" w:rsidRDefault="004D60A2" w:rsidP="0071266A">
      <w:pPr>
        <w:pStyle w:val="Normalnumberedlevel2"/>
      </w:pPr>
      <w:r>
        <w:t>I</w:t>
      </w:r>
      <w:r w:rsidR="00293FB0">
        <w:t xml:space="preserve">n your view, how will the Covid-19 pandemic affect the impacts of IFRS 17 on the insurance market (see a description of some expected impacts in paragraphs </w:t>
      </w:r>
      <w:r w:rsidR="00293FB0" w:rsidRPr="001F061B">
        <w:t xml:space="preserve">518 to 527 </w:t>
      </w:r>
      <w:r w:rsidR="00632E33" w:rsidRPr="001F061B">
        <w:t>in</w:t>
      </w:r>
      <w:r w:rsidR="00632E33">
        <w:t xml:space="preserve"> Appendix III</w:t>
      </w:r>
      <w:r w:rsidR="00293FB0">
        <w:t>) and indirectly, on the European economy as a whole?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0C3D8A" w:rsidRPr="00715A3E" w14:paraId="148D6A6F" w14:textId="77777777" w:rsidTr="00CE37B9">
        <w:trPr>
          <w:trHeight w:val="676"/>
        </w:trPr>
        <w:tc>
          <w:tcPr>
            <w:tcW w:w="8164" w:type="dxa"/>
          </w:tcPr>
          <w:p w14:paraId="5F352305" w14:textId="77777777" w:rsidR="000C3D8A" w:rsidRPr="00715A3E" w:rsidRDefault="000C3D8A" w:rsidP="00CE37B9">
            <w:pPr>
              <w:pStyle w:val="Bodyparagraph"/>
            </w:pPr>
          </w:p>
        </w:tc>
      </w:tr>
    </w:tbl>
    <w:p w14:paraId="2BDBABA0" w14:textId="04A01A16" w:rsidR="00293FB0" w:rsidRDefault="004D60A2" w:rsidP="0071266A">
      <w:pPr>
        <w:pStyle w:val="Normalnumberedlevel2"/>
      </w:pPr>
      <w:r>
        <w:t>Is</w:t>
      </w:r>
      <w:r w:rsidR="00293FB0">
        <w:t xml:space="preserve"> the Covid-19 pandemic affecting your implementation process for IFRS 17 and IFRS 9? Please explain in detail the impacts such as project ambitions, budget for implementation and ongoing costs, resources, speed of implementation. Please also explain whether this relates to the IT systems implementation, or rather the actuarial or accounting aspects of implementation.</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0C3D8A" w:rsidRPr="00715A3E" w14:paraId="0EC2E567" w14:textId="77777777" w:rsidTr="00CE37B9">
        <w:trPr>
          <w:trHeight w:val="676"/>
        </w:trPr>
        <w:tc>
          <w:tcPr>
            <w:tcW w:w="8164" w:type="dxa"/>
          </w:tcPr>
          <w:p w14:paraId="3987187A" w14:textId="77777777" w:rsidR="000C3D8A" w:rsidRPr="00715A3E" w:rsidRDefault="000C3D8A" w:rsidP="00CE37B9">
            <w:pPr>
              <w:pStyle w:val="Bodyparagraph"/>
            </w:pPr>
          </w:p>
        </w:tc>
      </w:tr>
    </w:tbl>
    <w:p w14:paraId="2553EA59" w14:textId="770E22AE" w:rsidR="00293FB0" w:rsidRDefault="004D60A2" w:rsidP="0071266A">
      <w:pPr>
        <w:pStyle w:val="Normalnumberedlevel2"/>
      </w:pPr>
      <w:r>
        <w:t>A</w:t>
      </w:r>
      <w:r w:rsidR="00293FB0">
        <w:t>re there other aspects around the implications of Covid-19, not yet addressed in the DEA that you want to expand on?</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DA69CF" w:rsidRPr="00715A3E" w14:paraId="4F322F4D" w14:textId="77777777" w:rsidTr="00FF2DE2">
        <w:trPr>
          <w:trHeight w:val="676"/>
        </w:trPr>
        <w:tc>
          <w:tcPr>
            <w:tcW w:w="8154" w:type="dxa"/>
          </w:tcPr>
          <w:p w14:paraId="0DC8109E" w14:textId="77777777" w:rsidR="00DA69CF" w:rsidRPr="00715A3E" w:rsidRDefault="00DA69CF" w:rsidP="00CE37B9">
            <w:pPr>
              <w:pStyle w:val="Bodyparagraph"/>
            </w:pPr>
          </w:p>
        </w:tc>
      </w:tr>
    </w:tbl>
    <w:p w14:paraId="380EBF46" w14:textId="740619B0" w:rsidR="00940267" w:rsidRPr="0030313A" w:rsidRDefault="00940267" w:rsidP="00940267">
      <w:pPr>
        <w:pStyle w:val="Heading2"/>
        <w:jc w:val="both"/>
      </w:pPr>
      <w:r w:rsidRPr="0030313A">
        <w:t xml:space="preserve">Part VI: </w:t>
      </w:r>
      <w:r w:rsidR="00A334DA" w:rsidRPr="0030313A">
        <w:t xml:space="preserve">EFRAG’s </w:t>
      </w:r>
      <w:r w:rsidR="00C0368F" w:rsidRPr="0030313A">
        <w:t xml:space="preserve">overall </w:t>
      </w:r>
      <w:r w:rsidR="00A334DA" w:rsidRPr="0030313A">
        <w:t>advice to the European Commission</w:t>
      </w:r>
    </w:p>
    <w:p w14:paraId="31A8B6DE" w14:textId="09C96024" w:rsidR="00940267" w:rsidRPr="0030313A" w:rsidRDefault="00940267" w:rsidP="00940267">
      <w:pPr>
        <w:pStyle w:val="Normalnumberedlevel1"/>
      </w:pPr>
      <w:r w:rsidRPr="0030313A">
        <w:t>Do you have any other comment on, or suggestion for, the advice that EFRAG is proposing to give to the European Commission?</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40267" w:rsidRPr="00715A3E" w14:paraId="7D5D5828" w14:textId="77777777" w:rsidTr="003B757D">
        <w:trPr>
          <w:trHeight w:val="676"/>
        </w:trPr>
        <w:tc>
          <w:tcPr>
            <w:tcW w:w="8164" w:type="dxa"/>
          </w:tcPr>
          <w:p w14:paraId="000FE8A9" w14:textId="77777777" w:rsidR="00940267" w:rsidRPr="00715A3E" w:rsidRDefault="00940267" w:rsidP="003B757D">
            <w:pPr>
              <w:pStyle w:val="Bodyparagraph"/>
            </w:pPr>
          </w:p>
        </w:tc>
      </w:tr>
    </w:tbl>
    <w:p w14:paraId="0108576E" w14:textId="77777777" w:rsidR="00940267" w:rsidRDefault="00940267" w:rsidP="00E5126F">
      <w:pPr>
        <w:pStyle w:val="Normalnumberedlevel1"/>
        <w:numPr>
          <w:ilvl w:val="0"/>
          <w:numId w:val="0"/>
        </w:numPr>
        <w:ind w:left="567"/>
      </w:pPr>
    </w:p>
    <w:p w14:paraId="51CC1FDD" w14:textId="77777777" w:rsidR="00951AF5" w:rsidRPr="00C86296" w:rsidRDefault="00951AF5" w:rsidP="009D5BD1"/>
    <w:sectPr w:rsidR="00951AF5" w:rsidRPr="00C86296" w:rsidSect="003D452A">
      <w:headerReference w:type="default" r:id="rId13"/>
      <w:footerReference w:type="default" r:id="rId14"/>
      <w:headerReference w:type="first" r:id="rId15"/>
      <w:footerReference w:type="first" r:id="rId16"/>
      <w:pgSz w:w="11907" w:h="16840" w:code="9"/>
      <w:pgMar w:top="1185" w:right="1588" w:bottom="1276" w:left="1588" w:header="709" w:footer="5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C5E8EE" w14:textId="77777777" w:rsidR="00525493" w:rsidRDefault="00525493" w:rsidP="009D5BD1">
      <w:r>
        <w:separator/>
      </w:r>
    </w:p>
  </w:endnote>
  <w:endnote w:type="continuationSeparator" w:id="0">
    <w:p w14:paraId="3A238A79" w14:textId="77777777" w:rsidR="00525493" w:rsidRDefault="00525493" w:rsidP="009D5BD1">
      <w:r>
        <w:continuationSeparator/>
      </w:r>
    </w:p>
  </w:endnote>
  <w:endnote w:type="continuationNotice" w:id="1">
    <w:p w14:paraId="691E79C5" w14:textId="77777777" w:rsidR="00525493" w:rsidRDefault="00525493" w:rsidP="009D5B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5529"/>
      <w:gridCol w:w="3202"/>
    </w:tblGrid>
    <w:tr w:rsidR="00A17154" w:rsidRPr="00B14A23" w14:paraId="51CC1FE7" w14:textId="77777777" w:rsidTr="00CE37B9">
      <w:trPr>
        <w:cantSplit/>
      </w:trPr>
      <w:tc>
        <w:tcPr>
          <w:tcW w:w="5529" w:type="dxa"/>
        </w:tcPr>
        <w:p w14:paraId="51CC1FE5" w14:textId="320692EE" w:rsidR="00A17154" w:rsidRPr="00B14A23" w:rsidRDefault="00A17154" w:rsidP="00257807">
          <w:pPr>
            <w:pStyle w:val="Footerleft"/>
          </w:pPr>
        </w:p>
      </w:tc>
      <w:tc>
        <w:tcPr>
          <w:tcW w:w="3202" w:type="dxa"/>
        </w:tcPr>
        <w:p w14:paraId="51CC1FE6" w14:textId="407ACDDA" w:rsidR="00A17154" w:rsidRPr="00B14A23" w:rsidRDefault="00A17154" w:rsidP="00A17154">
          <w:pPr>
            <w:pStyle w:val="Footerright"/>
          </w:pPr>
          <w:r w:rsidRPr="00B14A23">
            <w:t xml:space="preserve">Page </w:t>
          </w:r>
          <w:r w:rsidRPr="00B14A23">
            <w:fldChar w:fldCharType="begin"/>
          </w:r>
          <w:r w:rsidRPr="00B14A23">
            <w:instrText xml:space="preserve"> PAGE </w:instrText>
          </w:r>
          <w:r w:rsidRPr="00B14A23">
            <w:fldChar w:fldCharType="separate"/>
          </w:r>
          <w:r w:rsidR="00854DE8">
            <w:rPr>
              <w:noProof/>
            </w:rPr>
            <w:t>2</w:t>
          </w:r>
          <w:r w:rsidRPr="00B14A23">
            <w:fldChar w:fldCharType="end"/>
          </w:r>
          <w:r w:rsidRPr="00B14A23">
            <w:t xml:space="preserve"> of </w:t>
          </w:r>
          <w:r w:rsidRPr="00B14A23">
            <w:fldChar w:fldCharType="begin"/>
          </w:r>
          <w:r w:rsidRPr="00B14A23">
            <w:instrText xml:space="preserve"> NUMPAGES  \# "0" \* Arabic  \* MERGEFORMAT </w:instrText>
          </w:r>
          <w:r w:rsidRPr="00B14A23">
            <w:fldChar w:fldCharType="separate"/>
          </w:r>
          <w:r w:rsidR="00854DE8">
            <w:rPr>
              <w:noProof/>
            </w:rPr>
            <w:t>5</w:t>
          </w:r>
          <w:r w:rsidRPr="00B14A23">
            <w:fldChar w:fldCharType="end"/>
          </w:r>
        </w:p>
      </w:tc>
    </w:tr>
  </w:tbl>
  <w:p w14:paraId="51CC1FE8" w14:textId="77777777" w:rsidR="0008501F" w:rsidRPr="0008501F" w:rsidRDefault="0008501F" w:rsidP="0008501F">
    <w:pPr>
      <w:pStyle w:val="Footer"/>
      <w:spacing w:line="24"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5529"/>
      <w:gridCol w:w="3202"/>
    </w:tblGrid>
    <w:tr w:rsidR="00A17154" w:rsidRPr="00B14A23" w14:paraId="51CC1FF2" w14:textId="77777777" w:rsidTr="00CE37B9">
      <w:trPr>
        <w:cantSplit/>
      </w:trPr>
      <w:tc>
        <w:tcPr>
          <w:tcW w:w="5529" w:type="dxa"/>
        </w:tcPr>
        <w:p w14:paraId="51CC1FF0" w14:textId="4D09F829" w:rsidR="00A17154" w:rsidRPr="00B14A23" w:rsidRDefault="00A17154" w:rsidP="00854DE8">
          <w:pPr>
            <w:pStyle w:val="Footerleft"/>
          </w:pPr>
        </w:p>
      </w:tc>
      <w:tc>
        <w:tcPr>
          <w:tcW w:w="3202" w:type="dxa"/>
        </w:tcPr>
        <w:p w14:paraId="51CC1FF1" w14:textId="30961224" w:rsidR="00A17154" w:rsidRPr="00B14A23" w:rsidRDefault="00A17154" w:rsidP="00A17154">
          <w:pPr>
            <w:pStyle w:val="Footerright"/>
          </w:pPr>
          <w:r w:rsidRPr="00B14A23">
            <w:t xml:space="preserve">Page </w:t>
          </w:r>
          <w:r w:rsidRPr="00B14A23">
            <w:fldChar w:fldCharType="begin"/>
          </w:r>
          <w:r w:rsidRPr="00B14A23">
            <w:instrText xml:space="preserve"> PAGE </w:instrText>
          </w:r>
          <w:r w:rsidRPr="00B14A23">
            <w:fldChar w:fldCharType="separate"/>
          </w:r>
          <w:r w:rsidR="00854DE8">
            <w:rPr>
              <w:noProof/>
            </w:rPr>
            <w:t>1</w:t>
          </w:r>
          <w:r w:rsidRPr="00B14A23">
            <w:fldChar w:fldCharType="end"/>
          </w:r>
          <w:r w:rsidRPr="00B14A23">
            <w:t xml:space="preserve"> of </w:t>
          </w:r>
          <w:r w:rsidRPr="00B14A23">
            <w:fldChar w:fldCharType="begin"/>
          </w:r>
          <w:r w:rsidRPr="00B14A23">
            <w:instrText xml:space="preserve"> NUMPAGES  \# "0" \* Arabic  \* MERGEFORMAT </w:instrText>
          </w:r>
          <w:r w:rsidRPr="00B14A23">
            <w:fldChar w:fldCharType="separate"/>
          </w:r>
          <w:r w:rsidR="00854DE8">
            <w:rPr>
              <w:noProof/>
            </w:rPr>
            <w:t>5</w:t>
          </w:r>
          <w:r w:rsidRPr="00B14A23">
            <w:fldChar w:fldCharType="end"/>
          </w:r>
        </w:p>
      </w:tc>
    </w:tr>
  </w:tbl>
  <w:p w14:paraId="51CC1FF3" w14:textId="77777777" w:rsidR="0042491C" w:rsidRPr="00845D97" w:rsidRDefault="0042491C" w:rsidP="0008501F">
    <w:pPr>
      <w:spacing w:before="0" w:after="0" w:line="2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0CDBA9" w14:textId="77777777" w:rsidR="00525493" w:rsidRDefault="00525493" w:rsidP="009D5BD1">
      <w:r>
        <w:separator/>
      </w:r>
    </w:p>
  </w:footnote>
  <w:footnote w:type="continuationSeparator" w:id="0">
    <w:p w14:paraId="4BCE0DF6" w14:textId="77777777" w:rsidR="00525493" w:rsidRDefault="00525493" w:rsidP="009D5BD1">
      <w:r>
        <w:continuationSeparator/>
      </w:r>
    </w:p>
  </w:footnote>
  <w:footnote w:type="continuationNotice" w:id="1">
    <w:p w14:paraId="36B1FBC7" w14:textId="77777777" w:rsidR="00525493" w:rsidRDefault="00525493" w:rsidP="009D5BD1"/>
  </w:footnote>
  <w:footnote w:id="2">
    <w:p w14:paraId="7B19A3A6" w14:textId="4CCE7F23" w:rsidR="00F37032" w:rsidRPr="003D5C4B" w:rsidRDefault="00F37032" w:rsidP="00DA003C">
      <w:pPr>
        <w:pStyle w:val="FootnoteText"/>
        <w:jc w:val="both"/>
        <w:rPr>
          <w:lang w:val="en-US"/>
        </w:rPr>
      </w:pPr>
      <w:r>
        <w:rPr>
          <w:rStyle w:val="FootnoteReference"/>
        </w:rPr>
        <w:footnoteRef/>
      </w:r>
      <w:r>
        <w:t xml:space="preserve"> </w:t>
      </w:r>
      <w:r w:rsidRPr="003D5C4B">
        <w:rPr>
          <w:lang w:val="en-US"/>
        </w:rPr>
        <w:t>For a description of the a</w:t>
      </w:r>
      <w:r>
        <w:rPr>
          <w:lang w:val="en-US"/>
        </w:rPr>
        <w:t xml:space="preserve">ffected contracts please refer to </w:t>
      </w:r>
      <w:r w:rsidR="004C1F84">
        <w:rPr>
          <w:lang w:val="en-US"/>
        </w:rPr>
        <w:t xml:space="preserve">paragraphs 8 to 28 of </w:t>
      </w:r>
      <w:r>
        <w:rPr>
          <w:lang w:val="en-US"/>
        </w:rPr>
        <w:t>Annex A to Annex</w:t>
      </w:r>
      <w:r w:rsidR="00D409B5">
        <w:rPr>
          <w:lang w:val="en-US"/>
        </w:rPr>
        <w:t> </w:t>
      </w:r>
      <w:r>
        <w:rPr>
          <w:lang w:val="en-US"/>
        </w:rPr>
        <w:t>1 of the endorsement package relating to IFRS 17.</w:t>
      </w:r>
    </w:p>
  </w:footnote>
  <w:footnote w:id="3">
    <w:p w14:paraId="240BF981" w14:textId="3EC4796E" w:rsidR="00A72B75" w:rsidRPr="00915140" w:rsidRDefault="00A72B75" w:rsidP="006D300A">
      <w:pPr>
        <w:pStyle w:val="FootnoteText"/>
        <w:jc w:val="both"/>
      </w:pPr>
      <w:r>
        <w:rPr>
          <w:rStyle w:val="FootnoteReference"/>
        </w:rPr>
        <w:footnoteRef/>
      </w:r>
      <w:r>
        <w:t xml:space="preserve"> </w:t>
      </w:r>
      <w:r>
        <w:rPr>
          <w:sz w:val="16"/>
          <w:szCs w:val="16"/>
        </w:rPr>
        <w:t xml:space="preserve">Reference is made to </w:t>
      </w:r>
      <w:r w:rsidRPr="00795675">
        <w:rPr>
          <w:sz w:val="16"/>
          <w:szCs w:val="16"/>
        </w:rPr>
        <w:t xml:space="preserve">EIOPA’s publicly consulted </w:t>
      </w:r>
      <w:r w:rsidR="00CE74EE" w:rsidRPr="00CE74EE">
        <w:rPr>
          <w:sz w:val="16"/>
          <w:szCs w:val="16"/>
        </w:rPr>
        <w:t xml:space="preserve">Consultation Paper on the Opinion on the 2020 review of Solvency II </w:t>
      </w:r>
      <w:r w:rsidRPr="00795675">
        <w:rPr>
          <w:sz w:val="16"/>
          <w:szCs w:val="16"/>
        </w:rPr>
        <w:t>to amend the thresholds for applying Solvency II</w:t>
      </w:r>
      <w:r>
        <w:rPr>
          <w:sz w:val="16"/>
          <w:szCs w:val="16"/>
        </w:rPr>
        <w:t>.</w:t>
      </w:r>
      <w:r w:rsidRPr="00915140">
        <w:rPr>
          <w:sz w:val="16"/>
          <w:szCs w:val="16"/>
        </w:rPr>
        <w:t xml:space="preserve"> </w:t>
      </w:r>
    </w:p>
    <w:p w14:paraId="3521DBCA" w14:textId="7A6F7CE3" w:rsidR="00A72B75" w:rsidRPr="00A72B75" w:rsidRDefault="00A72B7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C1FE4" w14:textId="5117A573" w:rsidR="0042491C" w:rsidRPr="00650C3C" w:rsidRDefault="00DE1A23" w:rsidP="003D452A">
    <w:pPr>
      <w:pStyle w:val="Header-nextpage"/>
    </w:pPr>
    <w:r w:rsidRPr="00DE1A23">
      <w:t xml:space="preserve">IFRS 17 Insurance Contracts as </w:t>
    </w:r>
    <w:r w:rsidR="00CC753D" w:rsidRPr="00CC753D">
      <w:t xml:space="preserve">amended in June 2020 </w:t>
    </w:r>
    <w:r w:rsidR="0008501F">
      <w:br/>
    </w:r>
    <w:r w:rsidR="0042491C" w:rsidRPr="003845D1">
      <w:t xml:space="preserve">Invitation to Comment on EFRAG’s </w:t>
    </w:r>
    <w:r w:rsidR="0042491C">
      <w:t xml:space="preserve">Initial </w:t>
    </w:r>
    <w:r w:rsidR="0042491C" w:rsidRPr="003845D1">
      <w:t>Assessments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ook w:val="04A0" w:firstRow="1" w:lastRow="0" w:firstColumn="1" w:lastColumn="0" w:noHBand="0" w:noVBand="1"/>
    </w:tblPr>
    <w:tblGrid>
      <w:gridCol w:w="4417"/>
      <w:gridCol w:w="4372"/>
    </w:tblGrid>
    <w:tr w:rsidR="00625315" w:rsidRPr="00B64EDC" w14:paraId="51CC1FEE" w14:textId="77777777" w:rsidTr="006D300A">
      <w:tc>
        <w:tcPr>
          <w:tcW w:w="4417" w:type="dxa"/>
          <w:hideMark/>
        </w:tcPr>
        <w:p w14:paraId="51CC1FE9" w14:textId="77777777" w:rsidR="00625315" w:rsidRPr="00B64EDC" w:rsidRDefault="7A64488D" w:rsidP="009D5BD1">
          <w:r>
            <w:rPr>
              <w:noProof/>
            </w:rPr>
            <w:drawing>
              <wp:inline distT="0" distB="0" distL="0" distR="0" wp14:anchorId="51CC1FF4" wp14:editId="0B864F40">
                <wp:extent cx="2600325" cy="511175"/>
                <wp:effectExtent l="0" t="0" r="9525" b="3175"/>
                <wp:docPr id="5" name="Picture 5" descr="C:\Users\stojek\Desktop\EFRAG_NEW_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600325" cy="511175"/>
                        </a:xfrm>
                        <a:prstGeom prst="rect">
                          <a:avLst/>
                        </a:prstGeom>
                      </pic:spPr>
                    </pic:pic>
                  </a:graphicData>
                </a:graphic>
              </wp:inline>
            </w:drawing>
          </w:r>
        </w:p>
      </w:tc>
      <w:tc>
        <w:tcPr>
          <w:tcW w:w="4372" w:type="dxa"/>
        </w:tcPr>
        <w:p w14:paraId="51CC1FED" w14:textId="72D7E3E2" w:rsidR="00625315" w:rsidRPr="00B64EDC" w:rsidRDefault="00625315" w:rsidP="003D452A">
          <w:pPr>
            <w:pStyle w:val="Headerright"/>
          </w:pPr>
        </w:p>
      </w:tc>
    </w:tr>
  </w:tbl>
  <w:p w14:paraId="51CC1FEF" w14:textId="77777777" w:rsidR="0042491C" w:rsidRPr="00A84D0D" w:rsidRDefault="0042491C" w:rsidP="009D5B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82F28"/>
    <w:multiLevelType w:val="hybridMultilevel"/>
    <w:tmpl w:val="B10A7400"/>
    <w:lvl w:ilvl="0" w:tplc="EEFA8240">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 w15:restartNumberingAfterBreak="0">
    <w:nsid w:val="0A062895"/>
    <w:multiLevelType w:val="hybridMultilevel"/>
    <w:tmpl w:val="45600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9F45F8"/>
    <w:multiLevelType w:val="hybridMultilevel"/>
    <w:tmpl w:val="FF5C13BA"/>
    <w:lvl w:ilvl="0" w:tplc="9CFCE49E">
      <w:start w:val="1"/>
      <w:numFmt w:val="decimal"/>
      <w:lvlText w:val="%1"/>
      <w:lvlJc w:val="left"/>
      <w:pPr>
        <w:ind w:left="567" w:hanging="567"/>
      </w:pPr>
      <w:rPr>
        <w:rFonts w:ascii="Arial" w:hAnsi="Arial" w:hint="default"/>
        <w:sz w:val="22"/>
      </w:rPr>
    </w:lvl>
    <w:lvl w:ilvl="1" w:tplc="44FE366A">
      <w:start w:val="1"/>
      <w:numFmt w:val="bullet"/>
      <w:lvlText w:val=""/>
      <w:lvlJc w:val="left"/>
      <w:pPr>
        <w:ind w:left="1134" w:hanging="567"/>
      </w:pPr>
      <w:rPr>
        <w:rFonts w:ascii="Symbol" w:hAnsi="Symbol" w:hint="default"/>
        <w:b w:val="0"/>
        <w:i w:val="0"/>
        <w:sz w:val="22"/>
      </w:rPr>
    </w:lvl>
    <w:lvl w:ilvl="2" w:tplc="F10284D2">
      <w:start w:val="1"/>
      <w:numFmt w:val="lowerRoman"/>
      <w:lvlText w:val="(%3)"/>
      <w:lvlJc w:val="left"/>
      <w:pPr>
        <w:ind w:left="1701" w:hanging="567"/>
      </w:pPr>
      <w:rPr>
        <w:rFonts w:ascii="Arial" w:hAnsi="Arial" w:hint="default"/>
        <w:b w:val="0"/>
        <w:i w:val="0"/>
        <w:sz w:val="22"/>
      </w:rPr>
    </w:lvl>
    <w:lvl w:ilvl="3" w:tplc="056EC4AC">
      <w:start w:val="1"/>
      <w:numFmt w:val="bullet"/>
      <w:lvlText w:val=""/>
      <w:lvlJc w:val="left"/>
      <w:pPr>
        <w:tabs>
          <w:tab w:val="num" w:pos="2835"/>
        </w:tabs>
        <w:ind w:left="2268" w:hanging="567"/>
      </w:pPr>
      <w:rPr>
        <w:rFonts w:ascii="Symbol" w:hAnsi="Symbol" w:hint="default"/>
        <w:b w:val="0"/>
        <w:i w:val="0"/>
        <w:sz w:val="22"/>
      </w:rPr>
    </w:lvl>
    <w:lvl w:ilvl="4" w:tplc="9F60D5B6">
      <w:start w:val="1"/>
      <w:numFmt w:val="lowerLetter"/>
      <w:lvlText w:val="(%5)"/>
      <w:lvlJc w:val="left"/>
      <w:pPr>
        <w:ind w:left="2835" w:hanging="567"/>
      </w:pPr>
      <w:rPr>
        <w:rFonts w:ascii="Arial" w:hAnsi="Arial" w:hint="default"/>
        <w:b/>
        <w:i w:val="0"/>
        <w:sz w:val="22"/>
      </w:rPr>
    </w:lvl>
    <w:lvl w:ilvl="5" w:tplc="337EE8C0">
      <w:start w:val="1"/>
      <w:numFmt w:val="lowerRoman"/>
      <w:lvlText w:val="(%6)"/>
      <w:lvlJc w:val="left"/>
      <w:pPr>
        <w:ind w:left="3402" w:hanging="567"/>
      </w:pPr>
      <w:rPr>
        <w:rFonts w:hint="default"/>
      </w:rPr>
    </w:lvl>
    <w:lvl w:ilvl="6" w:tplc="9CD0620A">
      <w:start w:val="1"/>
      <w:numFmt w:val="decimal"/>
      <w:lvlText w:val="%7."/>
      <w:lvlJc w:val="left"/>
      <w:pPr>
        <w:ind w:left="3969" w:hanging="567"/>
      </w:pPr>
      <w:rPr>
        <w:rFonts w:hint="default"/>
      </w:rPr>
    </w:lvl>
    <w:lvl w:ilvl="7" w:tplc="97343C52">
      <w:start w:val="1"/>
      <w:numFmt w:val="lowerLetter"/>
      <w:lvlText w:val="%8."/>
      <w:lvlJc w:val="left"/>
      <w:pPr>
        <w:ind w:left="4536" w:hanging="567"/>
      </w:pPr>
      <w:rPr>
        <w:rFonts w:hint="default"/>
      </w:rPr>
    </w:lvl>
    <w:lvl w:ilvl="8" w:tplc="7EF60E88">
      <w:start w:val="1"/>
      <w:numFmt w:val="lowerRoman"/>
      <w:lvlText w:val="%9."/>
      <w:lvlJc w:val="left"/>
      <w:pPr>
        <w:ind w:left="5103" w:hanging="567"/>
      </w:pPr>
      <w:rPr>
        <w:rFonts w:hint="default"/>
      </w:rPr>
    </w:lvl>
  </w:abstractNum>
  <w:abstractNum w:abstractNumId="3" w15:restartNumberingAfterBreak="0">
    <w:nsid w:val="2A3F7D08"/>
    <w:multiLevelType w:val="hybridMultilevel"/>
    <w:tmpl w:val="ED98644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2E676948"/>
    <w:multiLevelType w:val="multilevel"/>
    <w:tmpl w:val="2812C55C"/>
    <w:styleLink w:val="EFRAGNumbering"/>
    <w:lvl w:ilvl="0">
      <w:start w:val="1"/>
      <w:numFmt w:val="decimal"/>
      <w:pStyle w:val="Normalnumberedlevel1"/>
      <w:lvlText w:val="%1"/>
      <w:lvlJc w:val="left"/>
      <w:pPr>
        <w:ind w:left="567" w:hanging="567"/>
      </w:pPr>
      <w:rPr>
        <w:rFonts w:ascii="Arial" w:hAnsi="Arial" w:hint="default"/>
        <w:sz w:val="22"/>
      </w:rPr>
    </w:lvl>
    <w:lvl w:ilvl="1">
      <w:start w:val="1"/>
      <w:numFmt w:val="lowerLetter"/>
      <w:pStyle w:val="Normalnumberedlevel2"/>
      <w:lvlText w:val="(%2)"/>
      <w:lvlJc w:val="left"/>
      <w:pPr>
        <w:ind w:left="1134" w:hanging="567"/>
      </w:pPr>
      <w:rPr>
        <w:rFonts w:ascii="Arial" w:hAnsi="Arial" w:hint="default"/>
        <w:b w:val="0"/>
        <w:i w:val="0"/>
        <w:sz w:val="22"/>
      </w:rPr>
    </w:lvl>
    <w:lvl w:ilvl="2">
      <w:start w:val="1"/>
      <w:numFmt w:val="lowerRoman"/>
      <w:pStyle w:val="Normalnumberedlevel3"/>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 w15:restartNumberingAfterBreak="0">
    <w:nsid w:val="304A4CBD"/>
    <w:multiLevelType w:val="multilevel"/>
    <w:tmpl w:val="F52E9BAE"/>
    <w:styleLink w:val="QuestionBoxNumbering"/>
    <w:lvl w:ilvl="0">
      <w:start w:val="1"/>
      <w:numFmt w:val="none"/>
      <w:pStyle w:val="Questionboxlevel1"/>
      <w:suff w:val="nothing"/>
      <w:lvlText w:val=""/>
      <w:lvlJc w:val="left"/>
      <w:pPr>
        <w:ind w:left="0" w:firstLine="0"/>
      </w:pPr>
      <w:rPr>
        <w:rFonts w:ascii="Arial" w:hAnsi="Arial" w:hint="default"/>
        <w:b/>
        <w:i w:val="0"/>
        <w:sz w:val="22"/>
      </w:rPr>
    </w:lvl>
    <w:lvl w:ilvl="1">
      <w:start w:val="1"/>
      <w:numFmt w:val="lowerLetter"/>
      <w:pStyle w:val="Questionboxlevel2"/>
      <w:lvlText w:val="(%2)"/>
      <w:lvlJc w:val="left"/>
      <w:pPr>
        <w:ind w:left="567" w:hanging="567"/>
      </w:pPr>
      <w:rPr>
        <w:rFonts w:hint="default"/>
      </w:rPr>
    </w:lvl>
    <w:lvl w:ilvl="2">
      <w:start w:val="1"/>
      <w:numFmt w:val="lowerRoman"/>
      <w:pStyle w:val="Questionboxlevel3"/>
      <w:lvlText w:val="(%3)"/>
      <w:lvlJc w:val="left"/>
      <w:pPr>
        <w:ind w:left="1134" w:hanging="567"/>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righ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right"/>
      <w:pPr>
        <w:ind w:left="4536" w:firstLine="0"/>
      </w:pPr>
      <w:rPr>
        <w:rFonts w:hint="default"/>
      </w:rPr>
    </w:lvl>
  </w:abstractNum>
  <w:abstractNum w:abstractNumId="6" w15:restartNumberingAfterBreak="0">
    <w:nsid w:val="33D0780A"/>
    <w:multiLevelType w:val="hybridMultilevel"/>
    <w:tmpl w:val="B750F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3E72CC"/>
    <w:multiLevelType w:val="hybridMultilevel"/>
    <w:tmpl w:val="808CF63C"/>
    <w:lvl w:ilvl="0" w:tplc="FD626106">
      <w:start w:val="2"/>
      <w:numFmt w:val="bullet"/>
      <w:lvlText w:val="-"/>
      <w:lvlJc w:val="left"/>
      <w:pPr>
        <w:ind w:left="360" w:hanging="360"/>
      </w:pPr>
      <w:rPr>
        <w:rFonts w:ascii="Arial" w:eastAsia="Times New Roman" w:hAnsi="Arial" w:cs="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C15074E"/>
    <w:multiLevelType w:val="hybridMultilevel"/>
    <w:tmpl w:val="CEFA0BA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4C550AE6"/>
    <w:multiLevelType w:val="hybridMultilevel"/>
    <w:tmpl w:val="7EFACAD0"/>
    <w:lvl w:ilvl="0" w:tplc="0652C002">
      <w:start w:val="1"/>
      <w:numFmt w:val="decimal"/>
      <w:pStyle w:val="Numberedheading"/>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BB4A84"/>
    <w:multiLevelType w:val="multilevel"/>
    <w:tmpl w:val="16065782"/>
    <w:styleLink w:val="Style1"/>
    <w:lvl w:ilvl="0">
      <w:start w:val="1"/>
      <w:numFmt w:val="decimal"/>
      <w:lvlText w:val="%1"/>
      <w:lvlJc w:val="left"/>
      <w:pPr>
        <w:ind w:left="561" w:hanging="561"/>
      </w:pPr>
      <w:rPr>
        <w:rFonts w:ascii="Arial" w:hAnsi="Arial" w:hint="default"/>
        <w:sz w:val="22"/>
      </w:rPr>
    </w:lvl>
    <w:lvl w:ilvl="1">
      <w:start w:val="1"/>
      <w:numFmt w:val="lowerLetter"/>
      <w:lvlText w:val="(%2)"/>
      <w:lvlJc w:val="left"/>
      <w:pPr>
        <w:ind w:left="1128" w:hanging="561"/>
      </w:pPr>
      <w:rPr>
        <w:rFonts w:ascii="Arial" w:hAnsi="Arial" w:hint="default"/>
        <w:b w:val="0"/>
        <w:i w:val="0"/>
        <w:sz w:val="22"/>
      </w:rPr>
    </w:lvl>
    <w:lvl w:ilvl="2">
      <w:start w:val="1"/>
      <w:numFmt w:val="lowerRoman"/>
      <w:lvlText w:val="(%3)"/>
      <w:lvlJc w:val="left"/>
      <w:pPr>
        <w:tabs>
          <w:tab w:val="num" w:pos="1224"/>
        </w:tabs>
        <w:ind w:left="1695" w:hanging="561"/>
      </w:pPr>
      <w:rPr>
        <w:rFonts w:ascii="Arial" w:hAnsi="Arial" w:hint="default"/>
        <w:b w:val="0"/>
        <w:i w:val="0"/>
        <w:sz w:val="22"/>
      </w:rPr>
    </w:lvl>
    <w:lvl w:ilvl="3">
      <w:start w:val="1"/>
      <w:numFmt w:val="bullet"/>
      <w:lvlText w:val=""/>
      <w:lvlJc w:val="left"/>
      <w:pPr>
        <w:tabs>
          <w:tab w:val="num" w:pos="1701"/>
        </w:tabs>
        <w:ind w:left="2262" w:hanging="561"/>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B2F55A5"/>
    <w:multiLevelType w:val="multilevel"/>
    <w:tmpl w:val="43C8C058"/>
    <w:lvl w:ilvl="0">
      <w:start w:val="1"/>
      <w:numFmt w:val="bullet"/>
      <w:pStyle w:val="Bulletedlis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
      <w:lvlJc w:val="left"/>
      <w:pPr>
        <w:ind w:left="2835" w:hanging="567"/>
      </w:pPr>
      <w:rPr>
        <w:rFonts w:ascii="Wingdings" w:hAnsi="Wingdings"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Wingdings" w:hAnsi="Wingdings" w:hint="default"/>
      </w:rPr>
    </w:lvl>
  </w:abstractNum>
  <w:abstractNum w:abstractNumId="12" w15:restartNumberingAfterBreak="0">
    <w:nsid w:val="66B50C45"/>
    <w:multiLevelType w:val="hybridMultilevel"/>
    <w:tmpl w:val="A2007E9C"/>
    <w:lvl w:ilvl="0" w:tplc="0116F208">
      <w:start w:val="1"/>
      <w:numFmt w:val="decimal"/>
      <w:pStyle w:val="Normalnumbered"/>
      <w:lvlText w:val="%1"/>
      <w:lvlJc w:val="left"/>
      <w:pPr>
        <w:ind w:left="360" w:hanging="360"/>
      </w:pPr>
      <w:rPr>
        <w:rFonts w:hint="default"/>
        <w:b w:val="0"/>
        <w:i w:val="0"/>
      </w:rPr>
    </w:lvl>
    <w:lvl w:ilvl="1" w:tplc="5C7C9532">
      <w:start w:val="1"/>
      <w:numFmt w:val="lowerLetter"/>
      <w:lvlText w:val="(%2)"/>
      <w:lvlJc w:val="left"/>
      <w:pPr>
        <w:tabs>
          <w:tab w:val="num" w:pos="1080"/>
        </w:tabs>
        <w:ind w:left="1080" w:hanging="360"/>
      </w:pPr>
      <w:rPr>
        <w:rFonts w:hint="default"/>
        <w:b w:val="0"/>
        <w:i w:val="0"/>
        <w:sz w:val="22"/>
        <w:szCs w:val="22"/>
      </w:rPr>
    </w:lvl>
    <w:lvl w:ilvl="2" w:tplc="627EECE6">
      <w:start w:val="1"/>
      <w:numFmt w:val="lowerRoman"/>
      <w:lvlText w:val="(%3)"/>
      <w:lvlJc w:val="left"/>
      <w:pPr>
        <w:tabs>
          <w:tab w:val="num" w:pos="1980"/>
        </w:tabs>
        <w:ind w:left="1980" w:hanging="360"/>
      </w:pPr>
      <w:rPr>
        <w:rFonts w:hint="default"/>
        <w:sz w:val="22"/>
        <w:szCs w:val="22"/>
      </w:rPr>
    </w:lvl>
    <w:lvl w:ilvl="3" w:tplc="BB4A976A">
      <w:start w:val="1"/>
      <w:numFmt w:val="lowerLetter"/>
      <w:lvlText w:val="(%4)"/>
      <w:lvlJc w:val="left"/>
      <w:pPr>
        <w:ind w:left="2520" w:hanging="360"/>
      </w:pPr>
      <w:rPr>
        <w:rFonts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713E27C0"/>
    <w:multiLevelType w:val="hybridMultilevel"/>
    <w:tmpl w:val="CF86EF42"/>
    <w:lvl w:ilvl="0" w:tplc="FFFFFFFF">
      <w:start w:val="1"/>
      <w:numFmt w:val="decimal"/>
      <w:lvlText w:val="%1."/>
      <w:lvlJc w:val="left"/>
      <w:pPr>
        <w:tabs>
          <w:tab w:val="num" w:pos="760"/>
        </w:tabs>
        <w:ind w:left="760" w:hanging="360"/>
      </w:pPr>
      <w:rPr>
        <w:rFonts w:ascii="Arial" w:hAnsi="Arial" w:cs="Arial" w:hint="default"/>
      </w:rPr>
    </w:lvl>
    <w:lvl w:ilvl="1" w:tplc="FFFFFFFF">
      <w:start w:val="1"/>
      <w:numFmt w:val="lowerLetter"/>
      <w:pStyle w:val="Para"/>
      <w:lvlText w:val="(%2)"/>
      <w:lvlJc w:val="left"/>
      <w:pPr>
        <w:tabs>
          <w:tab w:val="num" w:pos="1160"/>
        </w:tabs>
        <w:ind w:left="1160" w:hanging="360"/>
      </w:pPr>
      <w:rPr>
        <w:rFonts w:cs="Times New Roman" w:hint="eastAsia"/>
      </w:rPr>
    </w:lvl>
    <w:lvl w:ilvl="2" w:tplc="FFFFFFFF">
      <w:start w:val="1"/>
      <w:numFmt w:val="lowerRoman"/>
      <w:lvlText w:val="%3."/>
      <w:lvlJc w:val="right"/>
      <w:pPr>
        <w:tabs>
          <w:tab w:val="num" w:pos="1600"/>
        </w:tabs>
        <w:ind w:left="1600" w:hanging="400"/>
      </w:pPr>
      <w:rPr>
        <w:rFonts w:cs="Times New Roman"/>
      </w:rPr>
    </w:lvl>
    <w:lvl w:ilvl="3" w:tplc="FFFFFFFF">
      <w:start w:val="1"/>
      <w:numFmt w:val="lowerLetter"/>
      <w:lvlText w:val="(%4)"/>
      <w:lvlJc w:val="left"/>
      <w:pPr>
        <w:tabs>
          <w:tab w:val="num" w:pos="800"/>
        </w:tabs>
        <w:ind w:left="800" w:hanging="400"/>
      </w:pPr>
      <w:rPr>
        <w:rFonts w:cs="Times New Roman" w:hint="default"/>
      </w:rPr>
    </w:lvl>
    <w:lvl w:ilvl="4" w:tplc="FFFFFFFF" w:tentative="1">
      <w:start w:val="1"/>
      <w:numFmt w:val="upperLetter"/>
      <w:lvlText w:val="%5."/>
      <w:lvlJc w:val="left"/>
      <w:pPr>
        <w:tabs>
          <w:tab w:val="num" w:pos="2400"/>
        </w:tabs>
        <w:ind w:left="2400" w:hanging="400"/>
      </w:pPr>
      <w:rPr>
        <w:rFonts w:cs="Times New Roman"/>
      </w:rPr>
    </w:lvl>
    <w:lvl w:ilvl="5" w:tplc="FFFFFFFF" w:tentative="1">
      <w:start w:val="1"/>
      <w:numFmt w:val="lowerRoman"/>
      <w:lvlText w:val="%6."/>
      <w:lvlJc w:val="right"/>
      <w:pPr>
        <w:tabs>
          <w:tab w:val="num" w:pos="2800"/>
        </w:tabs>
        <w:ind w:left="2800" w:hanging="400"/>
      </w:pPr>
      <w:rPr>
        <w:rFonts w:cs="Times New Roman"/>
      </w:rPr>
    </w:lvl>
    <w:lvl w:ilvl="6" w:tplc="FFFFFFFF" w:tentative="1">
      <w:start w:val="1"/>
      <w:numFmt w:val="decimal"/>
      <w:lvlText w:val="%7."/>
      <w:lvlJc w:val="left"/>
      <w:pPr>
        <w:tabs>
          <w:tab w:val="num" w:pos="3200"/>
        </w:tabs>
        <w:ind w:left="3200" w:hanging="400"/>
      </w:pPr>
      <w:rPr>
        <w:rFonts w:cs="Times New Roman"/>
      </w:rPr>
    </w:lvl>
    <w:lvl w:ilvl="7" w:tplc="FFFFFFFF" w:tentative="1">
      <w:start w:val="1"/>
      <w:numFmt w:val="upperLetter"/>
      <w:lvlText w:val="%8."/>
      <w:lvlJc w:val="left"/>
      <w:pPr>
        <w:tabs>
          <w:tab w:val="num" w:pos="3600"/>
        </w:tabs>
        <w:ind w:left="3600" w:hanging="400"/>
      </w:pPr>
      <w:rPr>
        <w:rFonts w:cs="Times New Roman"/>
      </w:rPr>
    </w:lvl>
    <w:lvl w:ilvl="8" w:tplc="FFFFFFFF" w:tentative="1">
      <w:start w:val="1"/>
      <w:numFmt w:val="lowerRoman"/>
      <w:lvlText w:val="%9."/>
      <w:lvlJc w:val="right"/>
      <w:pPr>
        <w:tabs>
          <w:tab w:val="num" w:pos="4000"/>
        </w:tabs>
        <w:ind w:left="4000" w:hanging="400"/>
      </w:pPr>
      <w:rPr>
        <w:rFonts w:cs="Times New Roman"/>
      </w:rPr>
    </w:lvl>
  </w:abstractNum>
  <w:num w:numId="1">
    <w:abstractNumId w:val="12"/>
  </w:num>
  <w:num w:numId="2">
    <w:abstractNumId w:val="11"/>
  </w:num>
  <w:num w:numId="3">
    <w:abstractNumId w:val="4"/>
  </w:num>
  <w:num w:numId="4">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5">
    <w:abstractNumId w:val="9"/>
  </w:num>
  <w:num w:numId="6">
    <w:abstractNumId w:val="13"/>
  </w:num>
  <w:num w:numId="7">
    <w:abstractNumId w:val="5"/>
  </w:num>
  <w:num w:numId="8">
    <w:abstractNumId w:val="10"/>
  </w:num>
  <w:num w:numId="9">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0">
    <w:abstractNumId w:val="2"/>
  </w:num>
  <w:num w:numId="11">
    <w:abstractNumId w:val="4"/>
    <w:lvlOverride w:ilvl="0">
      <w:startOverride w:val="1"/>
      <w:lvl w:ilvl="0">
        <w:start w:val="1"/>
        <w:numFmt w:val="decimal"/>
        <w:pStyle w:val="Normalnumberedlevel1"/>
        <w:lvlText w:val="%1"/>
        <w:lvlJc w:val="left"/>
        <w:pPr>
          <w:ind w:left="567" w:hanging="567"/>
        </w:pPr>
        <w:rPr>
          <w:rFonts w:ascii="Arial" w:hAnsi="Arial" w:hint="default"/>
          <w:sz w:val="22"/>
        </w:rPr>
      </w:lvl>
    </w:lvlOverride>
    <w:lvlOverride w:ilvl="1">
      <w:startOverride w:val="1"/>
      <w:lvl w:ilvl="1">
        <w:start w:val="1"/>
        <w:numFmt w:val="lowerLetter"/>
        <w:pStyle w:val="Normalnumberedlevel2"/>
        <w:lvlText w:val="(%2)"/>
        <w:lvlJc w:val="left"/>
        <w:pPr>
          <w:ind w:left="1134" w:hanging="567"/>
        </w:pPr>
        <w:rPr>
          <w:rFonts w:ascii="Arial" w:hAnsi="Arial" w:hint="default"/>
          <w:b w:val="0"/>
          <w:i w:val="0"/>
          <w:sz w:val="22"/>
        </w:rPr>
      </w:lvl>
    </w:lvlOverride>
    <w:lvlOverride w:ilvl="2">
      <w:startOverride w:val="1"/>
      <w:lvl w:ilvl="2">
        <w:start w:val="1"/>
        <w:numFmt w:val="lowerRoman"/>
        <w:pStyle w:val="Normalnumberedlevel3"/>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12">
    <w:abstractNumId w:val="4"/>
    <w:lvlOverride w:ilvl="0">
      <w:startOverride w:val="1"/>
      <w:lvl w:ilvl="0">
        <w:start w:val="1"/>
        <w:numFmt w:val="decimal"/>
        <w:pStyle w:val="Normalnumberedlevel1"/>
        <w:lvlText w:val="%1"/>
        <w:lvlJc w:val="left"/>
        <w:pPr>
          <w:ind w:left="567" w:hanging="567"/>
        </w:pPr>
        <w:rPr>
          <w:rFonts w:ascii="Arial" w:hAnsi="Arial" w:hint="default"/>
          <w:sz w:val="22"/>
        </w:rPr>
      </w:lvl>
    </w:lvlOverride>
    <w:lvlOverride w:ilvl="1">
      <w:startOverride w:val="1"/>
      <w:lvl w:ilvl="1">
        <w:start w:val="1"/>
        <w:numFmt w:val="lowerLetter"/>
        <w:pStyle w:val="Normalnumberedlevel2"/>
        <w:lvlText w:val="(%2)"/>
        <w:lvlJc w:val="left"/>
        <w:pPr>
          <w:ind w:left="1134" w:hanging="567"/>
        </w:pPr>
        <w:rPr>
          <w:rFonts w:ascii="Arial" w:hAnsi="Arial" w:hint="default"/>
          <w:b w:val="0"/>
          <w:i w:val="0"/>
          <w:sz w:val="22"/>
        </w:rPr>
      </w:lvl>
    </w:lvlOverride>
    <w:lvlOverride w:ilvl="2">
      <w:startOverride w:val="1"/>
      <w:lvl w:ilvl="2">
        <w:start w:val="1"/>
        <w:numFmt w:val="lowerRoman"/>
        <w:pStyle w:val="Normalnumberedlevel3"/>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13">
    <w:abstractNumId w:val="4"/>
    <w:lvlOverride w:ilvl="0">
      <w:startOverride w:val="1"/>
      <w:lvl w:ilvl="0">
        <w:start w:val="1"/>
        <w:numFmt w:val="decimal"/>
        <w:pStyle w:val="Normalnumberedlevel1"/>
        <w:lvlText w:val="%1"/>
        <w:lvlJc w:val="left"/>
        <w:pPr>
          <w:ind w:left="567" w:hanging="567"/>
        </w:pPr>
        <w:rPr>
          <w:rFonts w:ascii="Arial" w:hAnsi="Arial" w:hint="default"/>
          <w:sz w:val="22"/>
        </w:rPr>
      </w:lvl>
    </w:lvlOverride>
    <w:lvlOverride w:ilvl="1">
      <w:startOverride w:val="1"/>
      <w:lvl w:ilvl="1">
        <w:start w:val="1"/>
        <w:numFmt w:val="lowerLetter"/>
        <w:pStyle w:val="Normalnumberedlevel2"/>
        <w:lvlText w:val="(%2)"/>
        <w:lvlJc w:val="left"/>
        <w:pPr>
          <w:ind w:left="1134" w:hanging="567"/>
        </w:pPr>
        <w:rPr>
          <w:rFonts w:ascii="Arial" w:hAnsi="Arial" w:hint="default"/>
          <w:b w:val="0"/>
          <w:i w:val="0"/>
          <w:sz w:val="22"/>
        </w:rPr>
      </w:lvl>
    </w:lvlOverride>
    <w:lvlOverride w:ilvl="2">
      <w:startOverride w:val="1"/>
      <w:lvl w:ilvl="2">
        <w:start w:val="1"/>
        <w:numFmt w:val="lowerRoman"/>
        <w:pStyle w:val="Normalnumberedlevel3"/>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14">
    <w:abstractNumId w:val="4"/>
    <w:lvlOverride w:ilvl="0">
      <w:startOverride w:val="1"/>
      <w:lvl w:ilvl="0">
        <w:start w:val="1"/>
        <w:numFmt w:val="decimal"/>
        <w:pStyle w:val="Normalnumberedlevel1"/>
        <w:lvlText w:val="%1"/>
        <w:lvlJc w:val="left"/>
        <w:pPr>
          <w:ind w:left="567" w:hanging="567"/>
        </w:pPr>
        <w:rPr>
          <w:rFonts w:ascii="Arial" w:hAnsi="Arial" w:hint="default"/>
          <w:sz w:val="22"/>
        </w:rPr>
      </w:lvl>
    </w:lvlOverride>
    <w:lvlOverride w:ilvl="1">
      <w:startOverride w:val="1"/>
      <w:lvl w:ilvl="1">
        <w:start w:val="1"/>
        <w:numFmt w:val="lowerLetter"/>
        <w:pStyle w:val="Normalnumberedlevel2"/>
        <w:lvlText w:val="(%2)"/>
        <w:lvlJc w:val="left"/>
        <w:pPr>
          <w:ind w:left="1134" w:hanging="567"/>
        </w:pPr>
        <w:rPr>
          <w:rFonts w:ascii="Arial" w:hAnsi="Arial" w:hint="default"/>
          <w:b w:val="0"/>
          <w:i w:val="0"/>
          <w:sz w:val="22"/>
        </w:rPr>
      </w:lvl>
    </w:lvlOverride>
    <w:lvlOverride w:ilvl="2">
      <w:startOverride w:val="1"/>
      <w:lvl w:ilvl="2">
        <w:start w:val="1"/>
        <w:numFmt w:val="lowerRoman"/>
        <w:pStyle w:val="Normalnumberedlevel3"/>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15">
    <w:abstractNumId w:val="4"/>
    <w:lvlOverride w:ilvl="0">
      <w:startOverride w:val="1"/>
      <w:lvl w:ilvl="0">
        <w:start w:val="1"/>
        <w:numFmt w:val="decimal"/>
        <w:pStyle w:val="Normalnumberedlevel1"/>
        <w:lvlText w:val="%1"/>
        <w:lvlJc w:val="left"/>
        <w:pPr>
          <w:ind w:left="567" w:hanging="567"/>
        </w:pPr>
        <w:rPr>
          <w:rFonts w:ascii="Arial" w:hAnsi="Arial" w:hint="default"/>
          <w:sz w:val="22"/>
        </w:rPr>
      </w:lvl>
    </w:lvlOverride>
    <w:lvlOverride w:ilvl="1">
      <w:startOverride w:val="1"/>
      <w:lvl w:ilvl="1">
        <w:start w:val="1"/>
        <w:numFmt w:val="lowerLetter"/>
        <w:pStyle w:val="Normalnumberedlevel2"/>
        <w:lvlText w:val="(%2)"/>
        <w:lvlJc w:val="left"/>
        <w:pPr>
          <w:ind w:left="1134" w:hanging="567"/>
        </w:pPr>
        <w:rPr>
          <w:rFonts w:ascii="Arial" w:hAnsi="Arial" w:hint="default"/>
          <w:b w:val="0"/>
          <w:i w:val="0"/>
          <w:sz w:val="22"/>
        </w:rPr>
      </w:lvl>
    </w:lvlOverride>
    <w:lvlOverride w:ilvl="2">
      <w:startOverride w:val="1"/>
      <w:lvl w:ilvl="2">
        <w:start w:val="1"/>
        <w:numFmt w:val="lowerRoman"/>
        <w:pStyle w:val="Normalnumberedlevel3"/>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16">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7">
    <w:abstractNumId w:val="4"/>
    <w:lvlOverride w:ilvl="0">
      <w:lvl w:ilvl="0">
        <w:start w:val="1"/>
        <w:numFmt w:val="decimal"/>
        <w:pStyle w:val="Normalnumberedlevel1"/>
        <w:lvlText w:val="%1"/>
        <w:lvlJc w:val="left"/>
        <w:pPr>
          <w:ind w:left="851" w:hanging="567"/>
        </w:pPr>
        <w:rPr>
          <w:rFonts w:ascii="Arial" w:hAnsi="Arial" w:hint="default"/>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8">
    <w:abstractNumId w:val="6"/>
  </w:num>
  <w:num w:numId="19">
    <w:abstractNumId w:val="0"/>
  </w:num>
  <w:num w:numId="20">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1">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2">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3">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4">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5">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6">
    <w:abstractNumId w:val="8"/>
  </w:num>
  <w:num w:numId="27">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8">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9">
    <w:abstractNumId w:val="1"/>
  </w:num>
  <w:num w:numId="30">
    <w:abstractNumId w:val="3"/>
  </w:num>
  <w:num w:numId="31">
    <w:abstractNumId w:val="7"/>
  </w:num>
  <w:num w:numId="32">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3">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4">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5">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6">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7">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8">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9">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40">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41">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42">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43">
    <w:abstractNumId w:val="4"/>
    <w:lvlOverride w:ilvl="0">
      <w:startOverride w:val="1"/>
      <w:lvl w:ilvl="0">
        <w:start w:val="1"/>
        <w:numFmt w:val="decimal"/>
        <w:pStyle w:val="Normalnumberedlevel1"/>
        <w:lvlText w:val="%1"/>
        <w:lvlJc w:val="left"/>
        <w:pPr>
          <w:ind w:left="567" w:hanging="567"/>
        </w:pPr>
        <w:rPr>
          <w:rFonts w:ascii="Arial" w:hAnsi="Arial" w:hint="default"/>
          <w:sz w:val="22"/>
        </w:rPr>
      </w:lvl>
    </w:lvlOverride>
    <w:lvlOverride w:ilvl="1">
      <w:startOverride w:val="1"/>
      <w:lvl w:ilvl="1">
        <w:start w:val="1"/>
        <w:numFmt w:val="lowerLetter"/>
        <w:pStyle w:val="Normalnumberedlevel2"/>
        <w:lvlText w:val="(%2)"/>
        <w:lvlJc w:val="left"/>
        <w:pPr>
          <w:ind w:left="1134" w:hanging="567"/>
        </w:pPr>
        <w:rPr>
          <w:rFonts w:ascii="Arial" w:hAnsi="Arial" w:hint="default"/>
          <w:b w:val="0"/>
          <w:i w:val="0"/>
          <w:sz w:val="22"/>
        </w:rPr>
      </w:lvl>
    </w:lvlOverride>
    <w:lvlOverride w:ilvl="2">
      <w:startOverride w:val="1"/>
      <w:lvl w:ilvl="2">
        <w:start w:val="1"/>
        <w:numFmt w:val="lowerRoman"/>
        <w:pStyle w:val="Normalnumberedlevel3"/>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44">
    <w:abstractNumId w:val="4"/>
    <w:lvlOverride w:ilvl="0">
      <w:startOverride w:val="1"/>
      <w:lvl w:ilvl="0">
        <w:start w:val="1"/>
        <w:numFmt w:val="decimal"/>
        <w:pStyle w:val="Normalnumberedlevel1"/>
        <w:lvlText w:val="%1"/>
        <w:lvlJc w:val="left"/>
        <w:pPr>
          <w:ind w:left="567" w:hanging="567"/>
        </w:pPr>
        <w:rPr>
          <w:rFonts w:ascii="Arial" w:hAnsi="Arial" w:hint="default"/>
          <w:sz w:val="22"/>
        </w:rPr>
      </w:lvl>
    </w:lvlOverride>
    <w:lvlOverride w:ilvl="1">
      <w:startOverride w:val="1"/>
      <w:lvl w:ilvl="1">
        <w:start w:val="1"/>
        <w:numFmt w:val="lowerLetter"/>
        <w:pStyle w:val="Normalnumberedlevel2"/>
        <w:lvlText w:val="(%2)"/>
        <w:lvlJc w:val="left"/>
        <w:pPr>
          <w:ind w:left="1134" w:hanging="567"/>
        </w:pPr>
        <w:rPr>
          <w:rFonts w:ascii="Arial" w:hAnsi="Arial" w:hint="default"/>
          <w:b w:val="0"/>
          <w:i w:val="0"/>
          <w:sz w:val="22"/>
        </w:rPr>
      </w:lvl>
    </w:lvlOverride>
    <w:lvlOverride w:ilvl="2">
      <w:startOverride w:val="1"/>
      <w:lvl w:ilvl="2">
        <w:start w:val="1"/>
        <w:numFmt w:val="lowerRoman"/>
        <w:pStyle w:val="Normalnumberedlevel3"/>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SortMethod w:val="0000"/>
  <w:documentProtection w:edit="forms" w:enforcement="0"/>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0D2"/>
    <w:rsid w:val="0000019A"/>
    <w:rsid w:val="00000EF6"/>
    <w:rsid w:val="00000FC3"/>
    <w:rsid w:val="0000113D"/>
    <w:rsid w:val="000011BC"/>
    <w:rsid w:val="00001BBF"/>
    <w:rsid w:val="00002BDA"/>
    <w:rsid w:val="00004706"/>
    <w:rsid w:val="00006B19"/>
    <w:rsid w:val="000070A3"/>
    <w:rsid w:val="00007A05"/>
    <w:rsid w:val="00010A23"/>
    <w:rsid w:val="00011350"/>
    <w:rsid w:val="000119DC"/>
    <w:rsid w:val="00011C51"/>
    <w:rsid w:val="00012E2A"/>
    <w:rsid w:val="000130A7"/>
    <w:rsid w:val="000134BD"/>
    <w:rsid w:val="00013541"/>
    <w:rsid w:val="000137D0"/>
    <w:rsid w:val="00014420"/>
    <w:rsid w:val="00014653"/>
    <w:rsid w:val="0001493C"/>
    <w:rsid w:val="00014CEC"/>
    <w:rsid w:val="00014ED2"/>
    <w:rsid w:val="00015182"/>
    <w:rsid w:val="000161F0"/>
    <w:rsid w:val="000216EA"/>
    <w:rsid w:val="0002187D"/>
    <w:rsid w:val="00022A1C"/>
    <w:rsid w:val="00022AA4"/>
    <w:rsid w:val="000230F1"/>
    <w:rsid w:val="00023268"/>
    <w:rsid w:val="000234F4"/>
    <w:rsid w:val="00023519"/>
    <w:rsid w:val="00023D6E"/>
    <w:rsid w:val="00024151"/>
    <w:rsid w:val="00024D6B"/>
    <w:rsid w:val="00025CA5"/>
    <w:rsid w:val="00025D96"/>
    <w:rsid w:val="00025F89"/>
    <w:rsid w:val="00026303"/>
    <w:rsid w:val="0002728F"/>
    <w:rsid w:val="00027644"/>
    <w:rsid w:val="00027DC1"/>
    <w:rsid w:val="0003056C"/>
    <w:rsid w:val="00030800"/>
    <w:rsid w:val="00030826"/>
    <w:rsid w:val="00030E7C"/>
    <w:rsid w:val="00031150"/>
    <w:rsid w:val="00031C03"/>
    <w:rsid w:val="00033106"/>
    <w:rsid w:val="00033575"/>
    <w:rsid w:val="000338D4"/>
    <w:rsid w:val="00034886"/>
    <w:rsid w:val="00034977"/>
    <w:rsid w:val="0003523C"/>
    <w:rsid w:val="00036986"/>
    <w:rsid w:val="00036E34"/>
    <w:rsid w:val="000401C1"/>
    <w:rsid w:val="00040941"/>
    <w:rsid w:val="00041815"/>
    <w:rsid w:val="00041DB8"/>
    <w:rsid w:val="00042CBB"/>
    <w:rsid w:val="0004323D"/>
    <w:rsid w:val="00043254"/>
    <w:rsid w:val="00043AE2"/>
    <w:rsid w:val="00043E65"/>
    <w:rsid w:val="00043F02"/>
    <w:rsid w:val="000444A9"/>
    <w:rsid w:val="00044820"/>
    <w:rsid w:val="00046238"/>
    <w:rsid w:val="000469F1"/>
    <w:rsid w:val="00047B5E"/>
    <w:rsid w:val="00050A0B"/>
    <w:rsid w:val="00050D74"/>
    <w:rsid w:val="000519D5"/>
    <w:rsid w:val="000527C1"/>
    <w:rsid w:val="00053DCA"/>
    <w:rsid w:val="00055AB6"/>
    <w:rsid w:val="000562C7"/>
    <w:rsid w:val="00056332"/>
    <w:rsid w:val="00056A71"/>
    <w:rsid w:val="00060108"/>
    <w:rsid w:val="00060895"/>
    <w:rsid w:val="00060BBC"/>
    <w:rsid w:val="00060E0B"/>
    <w:rsid w:val="00062233"/>
    <w:rsid w:val="00062DC0"/>
    <w:rsid w:val="00062FEA"/>
    <w:rsid w:val="00063335"/>
    <w:rsid w:val="0006366D"/>
    <w:rsid w:val="00063F36"/>
    <w:rsid w:val="00063FFC"/>
    <w:rsid w:val="00064121"/>
    <w:rsid w:val="00064EBE"/>
    <w:rsid w:val="00065666"/>
    <w:rsid w:val="000659C6"/>
    <w:rsid w:val="000659CB"/>
    <w:rsid w:val="0006607D"/>
    <w:rsid w:val="000660B5"/>
    <w:rsid w:val="00066178"/>
    <w:rsid w:val="00067AA8"/>
    <w:rsid w:val="00067CE5"/>
    <w:rsid w:val="00067E0F"/>
    <w:rsid w:val="000720C7"/>
    <w:rsid w:val="000732BC"/>
    <w:rsid w:val="000732C1"/>
    <w:rsid w:val="00074293"/>
    <w:rsid w:val="00074935"/>
    <w:rsid w:val="000778B6"/>
    <w:rsid w:val="00077DA9"/>
    <w:rsid w:val="00077ECB"/>
    <w:rsid w:val="00080C5F"/>
    <w:rsid w:val="00080EB6"/>
    <w:rsid w:val="00081111"/>
    <w:rsid w:val="000811D1"/>
    <w:rsid w:val="00081D31"/>
    <w:rsid w:val="00082327"/>
    <w:rsid w:val="00082E02"/>
    <w:rsid w:val="000833B3"/>
    <w:rsid w:val="00083483"/>
    <w:rsid w:val="00083564"/>
    <w:rsid w:val="000836BD"/>
    <w:rsid w:val="00083C05"/>
    <w:rsid w:val="0008501F"/>
    <w:rsid w:val="00085DEA"/>
    <w:rsid w:val="00086035"/>
    <w:rsid w:val="0008748A"/>
    <w:rsid w:val="000879A5"/>
    <w:rsid w:val="00090458"/>
    <w:rsid w:val="000907EA"/>
    <w:rsid w:val="00090D0B"/>
    <w:rsid w:val="000912BF"/>
    <w:rsid w:val="00092406"/>
    <w:rsid w:val="00092C07"/>
    <w:rsid w:val="00092E13"/>
    <w:rsid w:val="00093366"/>
    <w:rsid w:val="0009339E"/>
    <w:rsid w:val="000939C8"/>
    <w:rsid w:val="00094486"/>
    <w:rsid w:val="00095547"/>
    <w:rsid w:val="00095C84"/>
    <w:rsid w:val="000964AD"/>
    <w:rsid w:val="00096F72"/>
    <w:rsid w:val="00097A22"/>
    <w:rsid w:val="000A0135"/>
    <w:rsid w:val="000A04B7"/>
    <w:rsid w:val="000A0898"/>
    <w:rsid w:val="000A0ED6"/>
    <w:rsid w:val="000A2A80"/>
    <w:rsid w:val="000A5527"/>
    <w:rsid w:val="000A6249"/>
    <w:rsid w:val="000A7CB7"/>
    <w:rsid w:val="000B0D1E"/>
    <w:rsid w:val="000B1139"/>
    <w:rsid w:val="000B1777"/>
    <w:rsid w:val="000B257C"/>
    <w:rsid w:val="000B2C89"/>
    <w:rsid w:val="000B4248"/>
    <w:rsid w:val="000B4735"/>
    <w:rsid w:val="000B5350"/>
    <w:rsid w:val="000B56E4"/>
    <w:rsid w:val="000B5E3A"/>
    <w:rsid w:val="000B6283"/>
    <w:rsid w:val="000B62B2"/>
    <w:rsid w:val="000B6A13"/>
    <w:rsid w:val="000B78C9"/>
    <w:rsid w:val="000B7977"/>
    <w:rsid w:val="000C07D6"/>
    <w:rsid w:val="000C09E0"/>
    <w:rsid w:val="000C0E51"/>
    <w:rsid w:val="000C21B2"/>
    <w:rsid w:val="000C2B4D"/>
    <w:rsid w:val="000C3754"/>
    <w:rsid w:val="000C3D8A"/>
    <w:rsid w:val="000C471D"/>
    <w:rsid w:val="000C4FD8"/>
    <w:rsid w:val="000C51E1"/>
    <w:rsid w:val="000C602C"/>
    <w:rsid w:val="000C6206"/>
    <w:rsid w:val="000C70DE"/>
    <w:rsid w:val="000C710E"/>
    <w:rsid w:val="000D0609"/>
    <w:rsid w:val="000D0B82"/>
    <w:rsid w:val="000D0CA5"/>
    <w:rsid w:val="000D0E71"/>
    <w:rsid w:val="000D2647"/>
    <w:rsid w:val="000D2C2C"/>
    <w:rsid w:val="000D2CD2"/>
    <w:rsid w:val="000D2DBA"/>
    <w:rsid w:val="000D2F08"/>
    <w:rsid w:val="000D3A68"/>
    <w:rsid w:val="000D3FC8"/>
    <w:rsid w:val="000D4B7C"/>
    <w:rsid w:val="000D4C71"/>
    <w:rsid w:val="000D4CE1"/>
    <w:rsid w:val="000D6126"/>
    <w:rsid w:val="000D7151"/>
    <w:rsid w:val="000D77F2"/>
    <w:rsid w:val="000D7D96"/>
    <w:rsid w:val="000E038F"/>
    <w:rsid w:val="000E1C63"/>
    <w:rsid w:val="000E1EEA"/>
    <w:rsid w:val="000E205B"/>
    <w:rsid w:val="000E2550"/>
    <w:rsid w:val="000E260A"/>
    <w:rsid w:val="000E2780"/>
    <w:rsid w:val="000E3187"/>
    <w:rsid w:val="000E338D"/>
    <w:rsid w:val="000E3F59"/>
    <w:rsid w:val="000E4766"/>
    <w:rsid w:val="000E4DD8"/>
    <w:rsid w:val="000E4E21"/>
    <w:rsid w:val="000E52F9"/>
    <w:rsid w:val="000E5A3B"/>
    <w:rsid w:val="000E795A"/>
    <w:rsid w:val="000E7B6F"/>
    <w:rsid w:val="000F00F5"/>
    <w:rsid w:val="000F155B"/>
    <w:rsid w:val="000F1946"/>
    <w:rsid w:val="000F1E18"/>
    <w:rsid w:val="000F2228"/>
    <w:rsid w:val="000F29D2"/>
    <w:rsid w:val="000F2C82"/>
    <w:rsid w:val="000F34C5"/>
    <w:rsid w:val="000F4CD7"/>
    <w:rsid w:val="000F56E6"/>
    <w:rsid w:val="000F687F"/>
    <w:rsid w:val="000F6A6E"/>
    <w:rsid w:val="000F6E61"/>
    <w:rsid w:val="000F71C9"/>
    <w:rsid w:val="0010069D"/>
    <w:rsid w:val="00100D33"/>
    <w:rsid w:val="00101464"/>
    <w:rsid w:val="00101503"/>
    <w:rsid w:val="00102BA4"/>
    <w:rsid w:val="00104173"/>
    <w:rsid w:val="00105AE2"/>
    <w:rsid w:val="001066B2"/>
    <w:rsid w:val="001066E5"/>
    <w:rsid w:val="00106E21"/>
    <w:rsid w:val="00107AAE"/>
    <w:rsid w:val="00107CC9"/>
    <w:rsid w:val="00110607"/>
    <w:rsid w:val="00110FBA"/>
    <w:rsid w:val="0011107B"/>
    <w:rsid w:val="00111100"/>
    <w:rsid w:val="00111326"/>
    <w:rsid w:val="001117E8"/>
    <w:rsid w:val="00113091"/>
    <w:rsid w:val="001132F8"/>
    <w:rsid w:val="00114377"/>
    <w:rsid w:val="001143D9"/>
    <w:rsid w:val="0011444C"/>
    <w:rsid w:val="001159CF"/>
    <w:rsid w:val="00115A1A"/>
    <w:rsid w:val="00115A66"/>
    <w:rsid w:val="00116165"/>
    <w:rsid w:val="0011740E"/>
    <w:rsid w:val="00117457"/>
    <w:rsid w:val="0011797F"/>
    <w:rsid w:val="00120385"/>
    <w:rsid w:val="001204E4"/>
    <w:rsid w:val="00120722"/>
    <w:rsid w:val="00121881"/>
    <w:rsid w:val="001239D9"/>
    <w:rsid w:val="00124583"/>
    <w:rsid w:val="0012485D"/>
    <w:rsid w:val="001254AC"/>
    <w:rsid w:val="00125F28"/>
    <w:rsid w:val="00126605"/>
    <w:rsid w:val="00126DF1"/>
    <w:rsid w:val="00127216"/>
    <w:rsid w:val="001308F4"/>
    <w:rsid w:val="00130B3A"/>
    <w:rsid w:val="00131FA0"/>
    <w:rsid w:val="001325CF"/>
    <w:rsid w:val="00132676"/>
    <w:rsid w:val="00132BC9"/>
    <w:rsid w:val="00133245"/>
    <w:rsid w:val="001336CA"/>
    <w:rsid w:val="00134345"/>
    <w:rsid w:val="00134CFA"/>
    <w:rsid w:val="0013501B"/>
    <w:rsid w:val="0013509F"/>
    <w:rsid w:val="00135905"/>
    <w:rsid w:val="00135A50"/>
    <w:rsid w:val="00136726"/>
    <w:rsid w:val="00137A6C"/>
    <w:rsid w:val="00141624"/>
    <w:rsid w:val="0014492D"/>
    <w:rsid w:val="00145C70"/>
    <w:rsid w:val="00145CCB"/>
    <w:rsid w:val="00150B79"/>
    <w:rsid w:val="00150CAE"/>
    <w:rsid w:val="0015112B"/>
    <w:rsid w:val="00151557"/>
    <w:rsid w:val="001522F3"/>
    <w:rsid w:val="00152889"/>
    <w:rsid w:val="00152B4F"/>
    <w:rsid w:val="00153D7E"/>
    <w:rsid w:val="00156CCF"/>
    <w:rsid w:val="0015713A"/>
    <w:rsid w:val="00157667"/>
    <w:rsid w:val="001612ED"/>
    <w:rsid w:val="00161377"/>
    <w:rsid w:val="0016164D"/>
    <w:rsid w:val="001633F6"/>
    <w:rsid w:val="0016374B"/>
    <w:rsid w:val="00164DAC"/>
    <w:rsid w:val="0016536E"/>
    <w:rsid w:val="001653A9"/>
    <w:rsid w:val="001660C1"/>
    <w:rsid w:val="00166197"/>
    <w:rsid w:val="00166235"/>
    <w:rsid w:val="001665A0"/>
    <w:rsid w:val="0016690F"/>
    <w:rsid w:val="00167C23"/>
    <w:rsid w:val="00167CCB"/>
    <w:rsid w:val="00167F45"/>
    <w:rsid w:val="0017114D"/>
    <w:rsid w:val="0017284B"/>
    <w:rsid w:val="00174385"/>
    <w:rsid w:val="001757EB"/>
    <w:rsid w:val="00175A99"/>
    <w:rsid w:val="00177829"/>
    <w:rsid w:val="00181C1C"/>
    <w:rsid w:val="0018214D"/>
    <w:rsid w:val="001832C6"/>
    <w:rsid w:val="0018342B"/>
    <w:rsid w:val="00184198"/>
    <w:rsid w:val="00186376"/>
    <w:rsid w:val="0018760B"/>
    <w:rsid w:val="00187840"/>
    <w:rsid w:val="00187895"/>
    <w:rsid w:val="00187EB8"/>
    <w:rsid w:val="0019069D"/>
    <w:rsid w:val="00190969"/>
    <w:rsid w:val="001928F4"/>
    <w:rsid w:val="0019300C"/>
    <w:rsid w:val="00193AF4"/>
    <w:rsid w:val="0019435A"/>
    <w:rsid w:val="00194E67"/>
    <w:rsid w:val="00194EE6"/>
    <w:rsid w:val="0019580C"/>
    <w:rsid w:val="001968A0"/>
    <w:rsid w:val="00196D3D"/>
    <w:rsid w:val="001970B3"/>
    <w:rsid w:val="001977C0"/>
    <w:rsid w:val="00197C8D"/>
    <w:rsid w:val="001A08BC"/>
    <w:rsid w:val="001A2BFF"/>
    <w:rsid w:val="001A320A"/>
    <w:rsid w:val="001A3965"/>
    <w:rsid w:val="001A3DFE"/>
    <w:rsid w:val="001A467E"/>
    <w:rsid w:val="001A4735"/>
    <w:rsid w:val="001A476B"/>
    <w:rsid w:val="001A5098"/>
    <w:rsid w:val="001A5FAA"/>
    <w:rsid w:val="001A62B2"/>
    <w:rsid w:val="001B0152"/>
    <w:rsid w:val="001B13FA"/>
    <w:rsid w:val="001B1506"/>
    <w:rsid w:val="001B15FB"/>
    <w:rsid w:val="001B18BA"/>
    <w:rsid w:val="001B2C03"/>
    <w:rsid w:val="001B37DE"/>
    <w:rsid w:val="001B4D44"/>
    <w:rsid w:val="001B4DA6"/>
    <w:rsid w:val="001B682F"/>
    <w:rsid w:val="001B77C2"/>
    <w:rsid w:val="001B7A17"/>
    <w:rsid w:val="001B7E38"/>
    <w:rsid w:val="001C0760"/>
    <w:rsid w:val="001C25AE"/>
    <w:rsid w:val="001C25B2"/>
    <w:rsid w:val="001C2683"/>
    <w:rsid w:val="001C2F0D"/>
    <w:rsid w:val="001C4A20"/>
    <w:rsid w:val="001C4A77"/>
    <w:rsid w:val="001C4D1A"/>
    <w:rsid w:val="001C6623"/>
    <w:rsid w:val="001C6694"/>
    <w:rsid w:val="001C6AEA"/>
    <w:rsid w:val="001C7C89"/>
    <w:rsid w:val="001D062D"/>
    <w:rsid w:val="001D102F"/>
    <w:rsid w:val="001D2C49"/>
    <w:rsid w:val="001D42D2"/>
    <w:rsid w:val="001D5994"/>
    <w:rsid w:val="001D6480"/>
    <w:rsid w:val="001D6E57"/>
    <w:rsid w:val="001D7DDF"/>
    <w:rsid w:val="001D7E08"/>
    <w:rsid w:val="001E0306"/>
    <w:rsid w:val="001E0AAB"/>
    <w:rsid w:val="001E13EF"/>
    <w:rsid w:val="001E179B"/>
    <w:rsid w:val="001E1AC0"/>
    <w:rsid w:val="001E1F7B"/>
    <w:rsid w:val="001E2255"/>
    <w:rsid w:val="001E2EDC"/>
    <w:rsid w:val="001E3153"/>
    <w:rsid w:val="001E464A"/>
    <w:rsid w:val="001E5F86"/>
    <w:rsid w:val="001E666B"/>
    <w:rsid w:val="001E6938"/>
    <w:rsid w:val="001E697C"/>
    <w:rsid w:val="001E6BF1"/>
    <w:rsid w:val="001E79E0"/>
    <w:rsid w:val="001F061B"/>
    <w:rsid w:val="001F12F3"/>
    <w:rsid w:val="001F164D"/>
    <w:rsid w:val="001F1729"/>
    <w:rsid w:val="001F1797"/>
    <w:rsid w:val="001F192C"/>
    <w:rsid w:val="001F215A"/>
    <w:rsid w:val="001F459E"/>
    <w:rsid w:val="001F4AA6"/>
    <w:rsid w:val="001F52C7"/>
    <w:rsid w:val="001F5759"/>
    <w:rsid w:val="001F676D"/>
    <w:rsid w:val="001F6EC7"/>
    <w:rsid w:val="001F71D9"/>
    <w:rsid w:val="001F72A5"/>
    <w:rsid w:val="001F7650"/>
    <w:rsid w:val="001F76B5"/>
    <w:rsid w:val="001F7764"/>
    <w:rsid w:val="001F7FBF"/>
    <w:rsid w:val="00200AB3"/>
    <w:rsid w:val="0020131A"/>
    <w:rsid w:val="00202450"/>
    <w:rsid w:val="00202C04"/>
    <w:rsid w:val="0020412E"/>
    <w:rsid w:val="0020460E"/>
    <w:rsid w:val="00204FDB"/>
    <w:rsid w:val="00205398"/>
    <w:rsid w:val="0020668E"/>
    <w:rsid w:val="002072C4"/>
    <w:rsid w:val="00207445"/>
    <w:rsid w:val="002100BB"/>
    <w:rsid w:val="002113A4"/>
    <w:rsid w:val="002113CF"/>
    <w:rsid w:val="00211BF3"/>
    <w:rsid w:val="002128F7"/>
    <w:rsid w:val="00215413"/>
    <w:rsid w:val="0021567F"/>
    <w:rsid w:val="00216664"/>
    <w:rsid w:val="00220629"/>
    <w:rsid w:val="00220D00"/>
    <w:rsid w:val="002212B2"/>
    <w:rsid w:val="002223C5"/>
    <w:rsid w:val="00222823"/>
    <w:rsid w:val="00222B8A"/>
    <w:rsid w:val="002235C2"/>
    <w:rsid w:val="00223673"/>
    <w:rsid w:val="002236AB"/>
    <w:rsid w:val="00223882"/>
    <w:rsid w:val="00223FF2"/>
    <w:rsid w:val="002248A5"/>
    <w:rsid w:val="00224A72"/>
    <w:rsid w:val="00224AAD"/>
    <w:rsid w:val="00224BB2"/>
    <w:rsid w:val="0022569C"/>
    <w:rsid w:val="00225A86"/>
    <w:rsid w:val="002260F9"/>
    <w:rsid w:val="00226C52"/>
    <w:rsid w:val="00230470"/>
    <w:rsid w:val="00230ABA"/>
    <w:rsid w:val="002325A4"/>
    <w:rsid w:val="002325C8"/>
    <w:rsid w:val="00232684"/>
    <w:rsid w:val="00232B1A"/>
    <w:rsid w:val="00233BB5"/>
    <w:rsid w:val="00233BE2"/>
    <w:rsid w:val="00233D95"/>
    <w:rsid w:val="00233EE8"/>
    <w:rsid w:val="002350B3"/>
    <w:rsid w:val="00235A39"/>
    <w:rsid w:val="00236B1D"/>
    <w:rsid w:val="002377DA"/>
    <w:rsid w:val="00240915"/>
    <w:rsid w:val="00240E6B"/>
    <w:rsid w:val="00240F1C"/>
    <w:rsid w:val="00240F9E"/>
    <w:rsid w:val="00241650"/>
    <w:rsid w:val="00241787"/>
    <w:rsid w:val="0024191E"/>
    <w:rsid w:val="0024198D"/>
    <w:rsid w:val="0024227D"/>
    <w:rsid w:val="002429BE"/>
    <w:rsid w:val="00242BC2"/>
    <w:rsid w:val="00243CDA"/>
    <w:rsid w:val="0024411B"/>
    <w:rsid w:val="00244871"/>
    <w:rsid w:val="00244CF8"/>
    <w:rsid w:val="0024515D"/>
    <w:rsid w:val="00250534"/>
    <w:rsid w:val="00250B17"/>
    <w:rsid w:val="00250E80"/>
    <w:rsid w:val="00251333"/>
    <w:rsid w:val="00251392"/>
    <w:rsid w:val="00252A8D"/>
    <w:rsid w:val="00252EC6"/>
    <w:rsid w:val="002535A1"/>
    <w:rsid w:val="0025482A"/>
    <w:rsid w:val="00255B6D"/>
    <w:rsid w:val="00257807"/>
    <w:rsid w:val="002601A0"/>
    <w:rsid w:val="00260A43"/>
    <w:rsid w:val="00260A47"/>
    <w:rsid w:val="00260D1F"/>
    <w:rsid w:val="00260D63"/>
    <w:rsid w:val="0026101C"/>
    <w:rsid w:val="002616A9"/>
    <w:rsid w:val="00261C3E"/>
    <w:rsid w:val="0026311A"/>
    <w:rsid w:val="00264202"/>
    <w:rsid w:val="0026525F"/>
    <w:rsid w:val="00265FE2"/>
    <w:rsid w:val="00266822"/>
    <w:rsid w:val="00266964"/>
    <w:rsid w:val="00267810"/>
    <w:rsid w:val="00267B38"/>
    <w:rsid w:val="00270C7D"/>
    <w:rsid w:val="002710A9"/>
    <w:rsid w:val="002719DD"/>
    <w:rsid w:val="00271BF2"/>
    <w:rsid w:val="00273F69"/>
    <w:rsid w:val="002742FB"/>
    <w:rsid w:val="00274412"/>
    <w:rsid w:val="002750C6"/>
    <w:rsid w:val="0027741D"/>
    <w:rsid w:val="00277D4F"/>
    <w:rsid w:val="00280326"/>
    <w:rsid w:val="0028053D"/>
    <w:rsid w:val="0028070A"/>
    <w:rsid w:val="00280A35"/>
    <w:rsid w:val="00280CC1"/>
    <w:rsid w:val="002819C6"/>
    <w:rsid w:val="0028223B"/>
    <w:rsid w:val="00284921"/>
    <w:rsid w:val="002852DB"/>
    <w:rsid w:val="00287BFC"/>
    <w:rsid w:val="00287CE7"/>
    <w:rsid w:val="00290954"/>
    <w:rsid w:val="00291537"/>
    <w:rsid w:val="00291F85"/>
    <w:rsid w:val="002923A7"/>
    <w:rsid w:val="002927F0"/>
    <w:rsid w:val="00292C36"/>
    <w:rsid w:val="002933CE"/>
    <w:rsid w:val="002937AB"/>
    <w:rsid w:val="00293CA5"/>
    <w:rsid w:val="00293FB0"/>
    <w:rsid w:val="00294826"/>
    <w:rsid w:val="00294A62"/>
    <w:rsid w:val="00294AE8"/>
    <w:rsid w:val="00295174"/>
    <w:rsid w:val="00296AF6"/>
    <w:rsid w:val="00296B04"/>
    <w:rsid w:val="00296CDB"/>
    <w:rsid w:val="00297134"/>
    <w:rsid w:val="002A01FC"/>
    <w:rsid w:val="002A1189"/>
    <w:rsid w:val="002A20E8"/>
    <w:rsid w:val="002A2180"/>
    <w:rsid w:val="002A35D3"/>
    <w:rsid w:val="002A3B45"/>
    <w:rsid w:val="002A430C"/>
    <w:rsid w:val="002A4EED"/>
    <w:rsid w:val="002A4F00"/>
    <w:rsid w:val="002A51AD"/>
    <w:rsid w:val="002A6127"/>
    <w:rsid w:val="002A6CBC"/>
    <w:rsid w:val="002A70BB"/>
    <w:rsid w:val="002A787B"/>
    <w:rsid w:val="002A7D95"/>
    <w:rsid w:val="002B00D4"/>
    <w:rsid w:val="002B08A8"/>
    <w:rsid w:val="002B19B7"/>
    <w:rsid w:val="002B1D99"/>
    <w:rsid w:val="002B22BF"/>
    <w:rsid w:val="002B2CFA"/>
    <w:rsid w:val="002B317A"/>
    <w:rsid w:val="002B3BD6"/>
    <w:rsid w:val="002B4BF7"/>
    <w:rsid w:val="002B59DB"/>
    <w:rsid w:val="002B5AEC"/>
    <w:rsid w:val="002B5E4F"/>
    <w:rsid w:val="002B6728"/>
    <w:rsid w:val="002B72C0"/>
    <w:rsid w:val="002B78AE"/>
    <w:rsid w:val="002B7EE8"/>
    <w:rsid w:val="002C0099"/>
    <w:rsid w:val="002C0586"/>
    <w:rsid w:val="002C096F"/>
    <w:rsid w:val="002C0BCA"/>
    <w:rsid w:val="002C0F87"/>
    <w:rsid w:val="002C1069"/>
    <w:rsid w:val="002C18B9"/>
    <w:rsid w:val="002C1DDB"/>
    <w:rsid w:val="002C31CD"/>
    <w:rsid w:val="002C36A9"/>
    <w:rsid w:val="002C372C"/>
    <w:rsid w:val="002C4D98"/>
    <w:rsid w:val="002C4E56"/>
    <w:rsid w:val="002C5EAB"/>
    <w:rsid w:val="002C6347"/>
    <w:rsid w:val="002C7ACF"/>
    <w:rsid w:val="002C7B8E"/>
    <w:rsid w:val="002C7F65"/>
    <w:rsid w:val="002D04B2"/>
    <w:rsid w:val="002D0B06"/>
    <w:rsid w:val="002D18BF"/>
    <w:rsid w:val="002D1CB2"/>
    <w:rsid w:val="002D25AA"/>
    <w:rsid w:val="002D2815"/>
    <w:rsid w:val="002D3606"/>
    <w:rsid w:val="002D3CD3"/>
    <w:rsid w:val="002D50A4"/>
    <w:rsid w:val="002D6CF7"/>
    <w:rsid w:val="002D7364"/>
    <w:rsid w:val="002D7403"/>
    <w:rsid w:val="002E21C2"/>
    <w:rsid w:val="002E21DC"/>
    <w:rsid w:val="002E21E9"/>
    <w:rsid w:val="002E22AE"/>
    <w:rsid w:val="002E3DDB"/>
    <w:rsid w:val="002E4E3B"/>
    <w:rsid w:val="002E4F31"/>
    <w:rsid w:val="002E5196"/>
    <w:rsid w:val="002E51D8"/>
    <w:rsid w:val="002E572F"/>
    <w:rsid w:val="002E616A"/>
    <w:rsid w:val="002E6CC6"/>
    <w:rsid w:val="002E6EAC"/>
    <w:rsid w:val="002E7872"/>
    <w:rsid w:val="002F087F"/>
    <w:rsid w:val="002F0DE4"/>
    <w:rsid w:val="002F24A1"/>
    <w:rsid w:val="002F34E6"/>
    <w:rsid w:val="002F40F9"/>
    <w:rsid w:val="002F431B"/>
    <w:rsid w:val="002F5A3F"/>
    <w:rsid w:val="002F5C0E"/>
    <w:rsid w:val="002F67D3"/>
    <w:rsid w:val="002F698D"/>
    <w:rsid w:val="002F7750"/>
    <w:rsid w:val="002F79DF"/>
    <w:rsid w:val="002F7D52"/>
    <w:rsid w:val="002F7D6D"/>
    <w:rsid w:val="002F7E46"/>
    <w:rsid w:val="003002CC"/>
    <w:rsid w:val="00300C73"/>
    <w:rsid w:val="00301B61"/>
    <w:rsid w:val="00301D07"/>
    <w:rsid w:val="00302099"/>
    <w:rsid w:val="00302609"/>
    <w:rsid w:val="00302BC5"/>
    <w:rsid w:val="00302E0B"/>
    <w:rsid w:val="0030313A"/>
    <w:rsid w:val="003043D2"/>
    <w:rsid w:val="0030440F"/>
    <w:rsid w:val="003048E7"/>
    <w:rsid w:val="00304A35"/>
    <w:rsid w:val="00305A57"/>
    <w:rsid w:val="00305DE6"/>
    <w:rsid w:val="003061A9"/>
    <w:rsid w:val="00306BB7"/>
    <w:rsid w:val="0030766D"/>
    <w:rsid w:val="003109D9"/>
    <w:rsid w:val="00310B5F"/>
    <w:rsid w:val="00310D4B"/>
    <w:rsid w:val="00310F90"/>
    <w:rsid w:val="003112BB"/>
    <w:rsid w:val="00311316"/>
    <w:rsid w:val="0031247C"/>
    <w:rsid w:val="00312803"/>
    <w:rsid w:val="00312EC1"/>
    <w:rsid w:val="00312F1A"/>
    <w:rsid w:val="0031342C"/>
    <w:rsid w:val="003134DF"/>
    <w:rsid w:val="0031382A"/>
    <w:rsid w:val="0031384C"/>
    <w:rsid w:val="00314208"/>
    <w:rsid w:val="003143AE"/>
    <w:rsid w:val="003143CA"/>
    <w:rsid w:val="00314549"/>
    <w:rsid w:val="003148C3"/>
    <w:rsid w:val="00315C6E"/>
    <w:rsid w:val="00316699"/>
    <w:rsid w:val="00316A47"/>
    <w:rsid w:val="00316A97"/>
    <w:rsid w:val="00317247"/>
    <w:rsid w:val="00317A50"/>
    <w:rsid w:val="00320B77"/>
    <w:rsid w:val="00320D1A"/>
    <w:rsid w:val="00322BC1"/>
    <w:rsid w:val="003237BD"/>
    <w:rsid w:val="003242CF"/>
    <w:rsid w:val="00326631"/>
    <w:rsid w:val="00326B1E"/>
    <w:rsid w:val="00326CB2"/>
    <w:rsid w:val="00327DE6"/>
    <w:rsid w:val="0033005A"/>
    <w:rsid w:val="00330B51"/>
    <w:rsid w:val="00331546"/>
    <w:rsid w:val="00331635"/>
    <w:rsid w:val="0033166E"/>
    <w:rsid w:val="00331905"/>
    <w:rsid w:val="0033209B"/>
    <w:rsid w:val="00332A0A"/>
    <w:rsid w:val="003347D3"/>
    <w:rsid w:val="003355BB"/>
    <w:rsid w:val="0033617F"/>
    <w:rsid w:val="00340354"/>
    <w:rsid w:val="003408AF"/>
    <w:rsid w:val="00340BE9"/>
    <w:rsid w:val="00340EBE"/>
    <w:rsid w:val="00341019"/>
    <w:rsid w:val="0034119A"/>
    <w:rsid w:val="0034325D"/>
    <w:rsid w:val="003439E5"/>
    <w:rsid w:val="00343B4D"/>
    <w:rsid w:val="003442D8"/>
    <w:rsid w:val="0034452C"/>
    <w:rsid w:val="003447C0"/>
    <w:rsid w:val="00344DD1"/>
    <w:rsid w:val="00345893"/>
    <w:rsid w:val="003471FA"/>
    <w:rsid w:val="00347BC3"/>
    <w:rsid w:val="003500D9"/>
    <w:rsid w:val="003501B3"/>
    <w:rsid w:val="00351742"/>
    <w:rsid w:val="00351AA3"/>
    <w:rsid w:val="003528D4"/>
    <w:rsid w:val="00353588"/>
    <w:rsid w:val="00353631"/>
    <w:rsid w:val="0035462C"/>
    <w:rsid w:val="0035585D"/>
    <w:rsid w:val="003559BB"/>
    <w:rsid w:val="00355DAB"/>
    <w:rsid w:val="00355F5A"/>
    <w:rsid w:val="00356090"/>
    <w:rsid w:val="00356CB8"/>
    <w:rsid w:val="00356DDD"/>
    <w:rsid w:val="00356FDD"/>
    <w:rsid w:val="00360311"/>
    <w:rsid w:val="003603B4"/>
    <w:rsid w:val="00361086"/>
    <w:rsid w:val="003612BA"/>
    <w:rsid w:val="003614AE"/>
    <w:rsid w:val="00363820"/>
    <w:rsid w:val="00363B12"/>
    <w:rsid w:val="00363C02"/>
    <w:rsid w:val="0036463E"/>
    <w:rsid w:val="00367F69"/>
    <w:rsid w:val="00370E72"/>
    <w:rsid w:val="00371F6C"/>
    <w:rsid w:val="0037377E"/>
    <w:rsid w:val="00373BD7"/>
    <w:rsid w:val="00373F4D"/>
    <w:rsid w:val="00374299"/>
    <w:rsid w:val="0037451C"/>
    <w:rsid w:val="00374A92"/>
    <w:rsid w:val="0037511E"/>
    <w:rsid w:val="003754D1"/>
    <w:rsid w:val="003759AA"/>
    <w:rsid w:val="00376660"/>
    <w:rsid w:val="003774B0"/>
    <w:rsid w:val="003775A4"/>
    <w:rsid w:val="00377A35"/>
    <w:rsid w:val="00377B1D"/>
    <w:rsid w:val="003806CB"/>
    <w:rsid w:val="003807AB"/>
    <w:rsid w:val="00381DAB"/>
    <w:rsid w:val="00381E8E"/>
    <w:rsid w:val="003822BC"/>
    <w:rsid w:val="00382916"/>
    <w:rsid w:val="00382EA4"/>
    <w:rsid w:val="00382FF3"/>
    <w:rsid w:val="003830E9"/>
    <w:rsid w:val="00383561"/>
    <w:rsid w:val="003837F3"/>
    <w:rsid w:val="00384570"/>
    <w:rsid w:val="003845D1"/>
    <w:rsid w:val="00384694"/>
    <w:rsid w:val="00384C95"/>
    <w:rsid w:val="00385197"/>
    <w:rsid w:val="0038528E"/>
    <w:rsid w:val="0038677A"/>
    <w:rsid w:val="0038694A"/>
    <w:rsid w:val="003871EB"/>
    <w:rsid w:val="00387353"/>
    <w:rsid w:val="003874CF"/>
    <w:rsid w:val="0038783A"/>
    <w:rsid w:val="00390693"/>
    <w:rsid w:val="00390E5B"/>
    <w:rsid w:val="003912C9"/>
    <w:rsid w:val="00391428"/>
    <w:rsid w:val="00391460"/>
    <w:rsid w:val="003928A5"/>
    <w:rsid w:val="00393B86"/>
    <w:rsid w:val="00393FD2"/>
    <w:rsid w:val="00395BDA"/>
    <w:rsid w:val="00395CAC"/>
    <w:rsid w:val="0039738A"/>
    <w:rsid w:val="003978F2"/>
    <w:rsid w:val="00397A2C"/>
    <w:rsid w:val="00397DBB"/>
    <w:rsid w:val="003A01BE"/>
    <w:rsid w:val="003A07FB"/>
    <w:rsid w:val="003A0FC1"/>
    <w:rsid w:val="003A217A"/>
    <w:rsid w:val="003A28EC"/>
    <w:rsid w:val="003A3D77"/>
    <w:rsid w:val="003A3E90"/>
    <w:rsid w:val="003A4415"/>
    <w:rsid w:val="003A5FD3"/>
    <w:rsid w:val="003A611A"/>
    <w:rsid w:val="003A70D9"/>
    <w:rsid w:val="003A79B3"/>
    <w:rsid w:val="003B0464"/>
    <w:rsid w:val="003B05FE"/>
    <w:rsid w:val="003B098A"/>
    <w:rsid w:val="003B0AB6"/>
    <w:rsid w:val="003B158C"/>
    <w:rsid w:val="003B2867"/>
    <w:rsid w:val="003B4EAE"/>
    <w:rsid w:val="003B5285"/>
    <w:rsid w:val="003B565C"/>
    <w:rsid w:val="003B5DF6"/>
    <w:rsid w:val="003B65B9"/>
    <w:rsid w:val="003B6C96"/>
    <w:rsid w:val="003B72E6"/>
    <w:rsid w:val="003B757D"/>
    <w:rsid w:val="003B7E9B"/>
    <w:rsid w:val="003C164F"/>
    <w:rsid w:val="003C1DA1"/>
    <w:rsid w:val="003C20DD"/>
    <w:rsid w:val="003C3096"/>
    <w:rsid w:val="003C4E79"/>
    <w:rsid w:val="003C52E7"/>
    <w:rsid w:val="003C5B35"/>
    <w:rsid w:val="003C69D9"/>
    <w:rsid w:val="003D020D"/>
    <w:rsid w:val="003D09D2"/>
    <w:rsid w:val="003D11C6"/>
    <w:rsid w:val="003D2095"/>
    <w:rsid w:val="003D30E4"/>
    <w:rsid w:val="003D3827"/>
    <w:rsid w:val="003D452A"/>
    <w:rsid w:val="003D531A"/>
    <w:rsid w:val="003D5C4B"/>
    <w:rsid w:val="003D648B"/>
    <w:rsid w:val="003D6948"/>
    <w:rsid w:val="003E0242"/>
    <w:rsid w:val="003E06A4"/>
    <w:rsid w:val="003E117C"/>
    <w:rsid w:val="003E1A0B"/>
    <w:rsid w:val="003E1A63"/>
    <w:rsid w:val="003E27CB"/>
    <w:rsid w:val="003E2A58"/>
    <w:rsid w:val="003E2D94"/>
    <w:rsid w:val="003E2E3F"/>
    <w:rsid w:val="003E3304"/>
    <w:rsid w:val="003E38B0"/>
    <w:rsid w:val="003E454A"/>
    <w:rsid w:val="003E5F15"/>
    <w:rsid w:val="003E6FDD"/>
    <w:rsid w:val="003E7CF0"/>
    <w:rsid w:val="003E7EE0"/>
    <w:rsid w:val="003F00E5"/>
    <w:rsid w:val="003F06E8"/>
    <w:rsid w:val="003F0F0B"/>
    <w:rsid w:val="003F15A7"/>
    <w:rsid w:val="003F19E6"/>
    <w:rsid w:val="003F1C03"/>
    <w:rsid w:val="003F26F8"/>
    <w:rsid w:val="003F273D"/>
    <w:rsid w:val="003F2C1A"/>
    <w:rsid w:val="003F41BB"/>
    <w:rsid w:val="003F4441"/>
    <w:rsid w:val="003F55CA"/>
    <w:rsid w:val="003F6CC6"/>
    <w:rsid w:val="003F7486"/>
    <w:rsid w:val="003F775E"/>
    <w:rsid w:val="003F77E3"/>
    <w:rsid w:val="003F7856"/>
    <w:rsid w:val="003F7A69"/>
    <w:rsid w:val="003F7DBC"/>
    <w:rsid w:val="00401093"/>
    <w:rsid w:val="00401CD1"/>
    <w:rsid w:val="004023A5"/>
    <w:rsid w:val="00402842"/>
    <w:rsid w:val="00402EFC"/>
    <w:rsid w:val="00403878"/>
    <w:rsid w:val="00403A22"/>
    <w:rsid w:val="00403D65"/>
    <w:rsid w:val="00404005"/>
    <w:rsid w:val="004040E8"/>
    <w:rsid w:val="00404411"/>
    <w:rsid w:val="00404506"/>
    <w:rsid w:val="004048B1"/>
    <w:rsid w:val="00404F5D"/>
    <w:rsid w:val="004054FC"/>
    <w:rsid w:val="00405851"/>
    <w:rsid w:val="00405FF3"/>
    <w:rsid w:val="00406147"/>
    <w:rsid w:val="00407E7F"/>
    <w:rsid w:val="0041048E"/>
    <w:rsid w:val="00410841"/>
    <w:rsid w:val="00411938"/>
    <w:rsid w:val="0041337D"/>
    <w:rsid w:val="0041365E"/>
    <w:rsid w:val="0041406A"/>
    <w:rsid w:val="00415BC6"/>
    <w:rsid w:val="0041630B"/>
    <w:rsid w:val="00420ACD"/>
    <w:rsid w:val="00420B7E"/>
    <w:rsid w:val="004217FD"/>
    <w:rsid w:val="00422723"/>
    <w:rsid w:val="00422E82"/>
    <w:rsid w:val="00422FA1"/>
    <w:rsid w:val="00423B9E"/>
    <w:rsid w:val="00423DA8"/>
    <w:rsid w:val="00424381"/>
    <w:rsid w:val="0042491C"/>
    <w:rsid w:val="00424FC3"/>
    <w:rsid w:val="00425ABB"/>
    <w:rsid w:val="00426CB4"/>
    <w:rsid w:val="00426DF8"/>
    <w:rsid w:val="004270E9"/>
    <w:rsid w:val="0042725E"/>
    <w:rsid w:val="0042726B"/>
    <w:rsid w:val="004277B9"/>
    <w:rsid w:val="004300AE"/>
    <w:rsid w:val="00431148"/>
    <w:rsid w:val="00431517"/>
    <w:rsid w:val="0043177E"/>
    <w:rsid w:val="0043195F"/>
    <w:rsid w:val="00432964"/>
    <w:rsid w:val="00432CBB"/>
    <w:rsid w:val="00432E1B"/>
    <w:rsid w:val="00435174"/>
    <w:rsid w:val="00440F68"/>
    <w:rsid w:val="00441344"/>
    <w:rsid w:val="004433A2"/>
    <w:rsid w:val="004434BF"/>
    <w:rsid w:val="004440B6"/>
    <w:rsid w:val="004440FD"/>
    <w:rsid w:val="0044420A"/>
    <w:rsid w:val="004449CB"/>
    <w:rsid w:val="00444BE2"/>
    <w:rsid w:val="004452E6"/>
    <w:rsid w:val="0044564E"/>
    <w:rsid w:val="00445B03"/>
    <w:rsid w:val="00445DEC"/>
    <w:rsid w:val="004465A4"/>
    <w:rsid w:val="0044672F"/>
    <w:rsid w:val="0044696A"/>
    <w:rsid w:val="004471F9"/>
    <w:rsid w:val="00447B47"/>
    <w:rsid w:val="00447BA2"/>
    <w:rsid w:val="00450106"/>
    <w:rsid w:val="004503EA"/>
    <w:rsid w:val="00450EAF"/>
    <w:rsid w:val="00451D3B"/>
    <w:rsid w:val="0045270A"/>
    <w:rsid w:val="0045363C"/>
    <w:rsid w:val="00453AAC"/>
    <w:rsid w:val="004541E4"/>
    <w:rsid w:val="0045457E"/>
    <w:rsid w:val="00455697"/>
    <w:rsid w:val="004556F1"/>
    <w:rsid w:val="004563AF"/>
    <w:rsid w:val="0045672F"/>
    <w:rsid w:val="00457432"/>
    <w:rsid w:val="0046097C"/>
    <w:rsid w:val="00460A1F"/>
    <w:rsid w:val="00460D2F"/>
    <w:rsid w:val="0046131A"/>
    <w:rsid w:val="00462094"/>
    <w:rsid w:val="004625DD"/>
    <w:rsid w:val="004627F3"/>
    <w:rsid w:val="004632CA"/>
    <w:rsid w:val="004634BA"/>
    <w:rsid w:val="00463C67"/>
    <w:rsid w:val="00463E8B"/>
    <w:rsid w:val="00463F4F"/>
    <w:rsid w:val="00464128"/>
    <w:rsid w:val="004647C6"/>
    <w:rsid w:val="00465374"/>
    <w:rsid w:val="0046551C"/>
    <w:rsid w:val="00465550"/>
    <w:rsid w:val="00465953"/>
    <w:rsid w:val="00465EC1"/>
    <w:rsid w:val="00466353"/>
    <w:rsid w:val="00466BE9"/>
    <w:rsid w:val="00466C6C"/>
    <w:rsid w:val="00467644"/>
    <w:rsid w:val="00470753"/>
    <w:rsid w:val="00470F7B"/>
    <w:rsid w:val="0047167C"/>
    <w:rsid w:val="004718EF"/>
    <w:rsid w:val="00471F5E"/>
    <w:rsid w:val="00473CE7"/>
    <w:rsid w:val="00474A98"/>
    <w:rsid w:val="004756FB"/>
    <w:rsid w:val="00475D9E"/>
    <w:rsid w:val="00475F04"/>
    <w:rsid w:val="004772B5"/>
    <w:rsid w:val="0048105C"/>
    <w:rsid w:val="00481301"/>
    <w:rsid w:val="00481356"/>
    <w:rsid w:val="004816C2"/>
    <w:rsid w:val="004824EC"/>
    <w:rsid w:val="00482518"/>
    <w:rsid w:val="00482731"/>
    <w:rsid w:val="00483AAA"/>
    <w:rsid w:val="00483E5D"/>
    <w:rsid w:val="004857A2"/>
    <w:rsid w:val="004863B8"/>
    <w:rsid w:val="0048660F"/>
    <w:rsid w:val="00486B7E"/>
    <w:rsid w:val="0048704A"/>
    <w:rsid w:val="00487695"/>
    <w:rsid w:val="0049017E"/>
    <w:rsid w:val="00490423"/>
    <w:rsid w:val="0049076F"/>
    <w:rsid w:val="00490EAA"/>
    <w:rsid w:val="00491EC3"/>
    <w:rsid w:val="00492983"/>
    <w:rsid w:val="0049323E"/>
    <w:rsid w:val="004933F8"/>
    <w:rsid w:val="00493748"/>
    <w:rsid w:val="00493E3E"/>
    <w:rsid w:val="00494B40"/>
    <w:rsid w:val="00494BB5"/>
    <w:rsid w:val="00494E43"/>
    <w:rsid w:val="00494FD2"/>
    <w:rsid w:val="004A078F"/>
    <w:rsid w:val="004A0BA7"/>
    <w:rsid w:val="004A0DE9"/>
    <w:rsid w:val="004A1398"/>
    <w:rsid w:val="004A16F0"/>
    <w:rsid w:val="004A3014"/>
    <w:rsid w:val="004A34B0"/>
    <w:rsid w:val="004A4D9E"/>
    <w:rsid w:val="004A4DAA"/>
    <w:rsid w:val="004A6457"/>
    <w:rsid w:val="004A7152"/>
    <w:rsid w:val="004A76F8"/>
    <w:rsid w:val="004B1124"/>
    <w:rsid w:val="004B129A"/>
    <w:rsid w:val="004B171D"/>
    <w:rsid w:val="004B22AD"/>
    <w:rsid w:val="004B259F"/>
    <w:rsid w:val="004B28DC"/>
    <w:rsid w:val="004B2AF6"/>
    <w:rsid w:val="004B331E"/>
    <w:rsid w:val="004B39A3"/>
    <w:rsid w:val="004B3DC8"/>
    <w:rsid w:val="004B4348"/>
    <w:rsid w:val="004B6DF2"/>
    <w:rsid w:val="004B6E20"/>
    <w:rsid w:val="004B709E"/>
    <w:rsid w:val="004C0D77"/>
    <w:rsid w:val="004C19E5"/>
    <w:rsid w:val="004C1B9E"/>
    <w:rsid w:val="004C1D9A"/>
    <w:rsid w:val="004C1EC9"/>
    <w:rsid w:val="004C1F84"/>
    <w:rsid w:val="004C2882"/>
    <w:rsid w:val="004C3AFC"/>
    <w:rsid w:val="004C3CED"/>
    <w:rsid w:val="004C3F73"/>
    <w:rsid w:val="004C4103"/>
    <w:rsid w:val="004C43B6"/>
    <w:rsid w:val="004C4F0E"/>
    <w:rsid w:val="004C5E27"/>
    <w:rsid w:val="004C68A7"/>
    <w:rsid w:val="004C7558"/>
    <w:rsid w:val="004C7804"/>
    <w:rsid w:val="004D01CC"/>
    <w:rsid w:val="004D07AF"/>
    <w:rsid w:val="004D15CF"/>
    <w:rsid w:val="004D1A18"/>
    <w:rsid w:val="004D1CEC"/>
    <w:rsid w:val="004D2C0E"/>
    <w:rsid w:val="004D337D"/>
    <w:rsid w:val="004D44C8"/>
    <w:rsid w:val="004D4955"/>
    <w:rsid w:val="004D5F3E"/>
    <w:rsid w:val="004D60A2"/>
    <w:rsid w:val="004D71E6"/>
    <w:rsid w:val="004D71F6"/>
    <w:rsid w:val="004D7A05"/>
    <w:rsid w:val="004E0315"/>
    <w:rsid w:val="004E05D3"/>
    <w:rsid w:val="004E13C6"/>
    <w:rsid w:val="004E14DB"/>
    <w:rsid w:val="004E17C6"/>
    <w:rsid w:val="004E2A77"/>
    <w:rsid w:val="004E35CB"/>
    <w:rsid w:val="004E3AE4"/>
    <w:rsid w:val="004E3FCD"/>
    <w:rsid w:val="004E3FEA"/>
    <w:rsid w:val="004E4627"/>
    <w:rsid w:val="004E4703"/>
    <w:rsid w:val="004E473C"/>
    <w:rsid w:val="004E47BB"/>
    <w:rsid w:val="004E4D2A"/>
    <w:rsid w:val="004E4EAF"/>
    <w:rsid w:val="004E5432"/>
    <w:rsid w:val="004E5620"/>
    <w:rsid w:val="004E5E04"/>
    <w:rsid w:val="004E5E99"/>
    <w:rsid w:val="004E6432"/>
    <w:rsid w:val="004F1465"/>
    <w:rsid w:val="004F219F"/>
    <w:rsid w:val="004F3439"/>
    <w:rsid w:val="004F3ADE"/>
    <w:rsid w:val="004F3B1D"/>
    <w:rsid w:val="004F43EE"/>
    <w:rsid w:val="004F48C4"/>
    <w:rsid w:val="004F58B6"/>
    <w:rsid w:val="004F61ED"/>
    <w:rsid w:val="004F65A8"/>
    <w:rsid w:val="004F6B2B"/>
    <w:rsid w:val="004F6B53"/>
    <w:rsid w:val="004F70B4"/>
    <w:rsid w:val="004F7DCA"/>
    <w:rsid w:val="005001BF"/>
    <w:rsid w:val="00500768"/>
    <w:rsid w:val="00500813"/>
    <w:rsid w:val="00500C44"/>
    <w:rsid w:val="0050306C"/>
    <w:rsid w:val="00505141"/>
    <w:rsid w:val="0050534F"/>
    <w:rsid w:val="005067FD"/>
    <w:rsid w:val="00506927"/>
    <w:rsid w:val="00506F9F"/>
    <w:rsid w:val="005075C3"/>
    <w:rsid w:val="00507B0E"/>
    <w:rsid w:val="00507C66"/>
    <w:rsid w:val="005101A2"/>
    <w:rsid w:val="00510BE7"/>
    <w:rsid w:val="00510C9E"/>
    <w:rsid w:val="00511306"/>
    <w:rsid w:val="00512A9F"/>
    <w:rsid w:val="0051315D"/>
    <w:rsid w:val="00513F41"/>
    <w:rsid w:val="00514139"/>
    <w:rsid w:val="00514C97"/>
    <w:rsid w:val="0051515C"/>
    <w:rsid w:val="0051591E"/>
    <w:rsid w:val="00515A5F"/>
    <w:rsid w:val="00515FCA"/>
    <w:rsid w:val="00516128"/>
    <w:rsid w:val="005161BB"/>
    <w:rsid w:val="00520408"/>
    <w:rsid w:val="005206D3"/>
    <w:rsid w:val="005216D0"/>
    <w:rsid w:val="00521808"/>
    <w:rsid w:val="005237E6"/>
    <w:rsid w:val="00523DD3"/>
    <w:rsid w:val="00523FFA"/>
    <w:rsid w:val="00524220"/>
    <w:rsid w:val="00525493"/>
    <w:rsid w:val="0052566C"/>
    <w:rsid w:val="00526787"/>
    <w:rsid w:val="00526F71"/>
    <w:rsid w:val="005274C0"/>
    <w:rsid w:val="00527860"/>
    <w:rsid w:val="005300F9"/>
    <w:rsid w:val="005302C3"/>
    <w:rsid w:val="00530781"/>
    <w:rsid w:val="0053082D"/>
    <w:rsid w:val="00530A19"/>
    <w:rsid w:val="005314DB"/>
    <w:rsid w:val="005330BA"/>
    <w:rsid w:val="0053317C"/>
    <w:rsid w:val="00533AF5"/>
    <w:rsid w:val="00534042"/>
    <w:rsid w:val="005346A6"/>
    <w:rsid w:val="00534C9D"/>
    <w:rsid w:val="00534D8B"/>
    <w:rsid w:val="00535549"/>
    <w:rsid w:val="00535C66"/>
    <w:rsid w:val="00536E07"/>
    <w:rsid w:val="00536ECF"/>
    <w:rsid w:val="00537EA5"/>
    <w:rsid w:val="005400AF"/>
    <w:rsid w:val="005401D2"/>
    <w:rsid w:val="005404FC"/>
    <w:rsid w:val="00540832"/>
    <w:rsid w:val="00540857"/>
    <w:rsid w:val="00541392"/>
    <w:rsid w:val="00541B6D"/>
    <w:rsid w:val="005437AF"/>
    <w:rsid w:val="00543966"/>
    <w:rsid w:val="00544CAF"/>
    <w:rsid w:val="00545BC1"/>
    <w:rsid w:val="0054630C"/>
    <w:rsid w:val="005463DE"/>
    <w:rsid w:val="005464F3"/>
    <w:rsid w:val="005466D7"/>
    <w:rsid w:val="0054679F"/>
    <w:rsid w:val="00546A56"/>
    <w:rsid w:val="00546C36"/>
    <w:rsid w:val="00546C38"/>
    <w:rsid w:val="00547632"/>
    <w:rsid w:val="005518DD"/>
    <w:rsid w:val="005519B4"/>
    <w:rsid w:val="00551C2D"/>
    <w:rsid w:val="005525D7"/>
    <w:rsid w:val="0055300D"/>
    <w:rsid w:val="00553164"/>
    <w:rsid w:val="0055320D"/>
    <w:rsid w:val="005544B9"/>
    <w:rsid w:val="00554CA5"/>
    <w:rsid w:val="00554FE1"/>
    <w:rsid w:val="00555C3D"/>
    <w:rsid w:val="00556837"/>
    <w:rsid w:val="00557E89"/>
    <w:rsid w:val="00561270"/>
    <w:rsid w:val="00561890"/>
    <w:rsid w:val="00562270"/>
    <w:rsid w:val="00563798"/>
    <w:rsid w:val="00565A2F"/>
    <w:rsid w:val="00566498"/>
    <w:rsid w:val="00567309"/>
    <w:rsid w:val="005676D2"/>
    <w:rsid w:val="00567BE1"/>
    <w:rsid w:val="0057002C"/>
    <w:rsid w:val="00570D76"/>
    <w:rsid w:val="00570E03"/>
    <w:rsid w:val="00571354"/>
    <w:rsid w:val="005728BA"/>
    <w:rsid w:val="005737EB"/>
    <w:rsid w:val="005743BF"/>
    <w:rsid w:val="00577DAD"/>
    <w:rsid w:val="00580150"/>
    <w:rsid w:val="005816C9"/>
    <w:rsid w:val="00581F43"/>
    <w:rsid w:val="00582718"/>
    <w:rsid w:val="00582E34"/>
    <w:rsid w:val="00582EAC"/>
    <w:rsid w:val="0058363E"/>
    <w:rsid w:val="00583CB6"/>
    <w:rsid w:val="005840C8"/>
    <w:rsid w:val="00584344"/>
    <w:rsid w:val="005848AF"/>
    <w:rsid w:val="0058615C"/>
    <w:rsid w:val="005873B6"/>
    <w:rsid w:val="00587666"/>
    <w:rsid w:val="0058794F"/>
    <w:rsid w:val="00590996"/>
    <w:rsid w:val="00590D77"/>
    <w:rsid w:val="00590DBE"/>
    <w:rsid w:val="00590DE0"/>
    <w:rsid w:val="0059152C"/>
    <w:rsid w:val="005929E6"/>
    <w:rsid w:val="00592AB8"/>
    <w:rsid w:val="00592D21"/>
    <w:rsid w:val="005936FD"/>
    <w:rsid w:val="00593A2C"/>
    <w:rsid w:val="00594307"/>
    <w:rsid w:val="00594F5B"/>
    <w:rsid w:val="00595444"/>
    <w:rsid w:val="005960DE"/>
    <w:rsid w:val="005A0A3F"/>
    <w:rsid w:val="005A0A45"/>
    <w:rsid w:val="005A12D2"/>
    <w:rsid w:val="005A1C0F"/>
    <w:rsid w:val="005A1D8F"/>
    <w:rsid w:val="005A20E5"/>
    <w:rsid w:val="005A230E"/>
    <w:rsid w:val="005A2813"/>
    <w:rsid w:val="005A2F6A"/>
    <w:rsid w:val="005A30C5"/>
    <w:rsid w:val="005A32CF"/>
    <w:rsid w:val="005A3DC1"/>
    <w:rsid w:val="005A441B"/>
    <w:rsid w:val="005A610F"/>
    <w:rsid w:val="005A6217"/>
    <w:rsid w:val="005A670B"/>
    <w:rsid w:val="005A76EE"/>
    <w:rsid w:val="005A7BA3"/>
    <w:rsid w:val="005B024E"/>
    <w:rsid w:val="005B0A7A"/>
    <w:rsid w:val="005B0AA2"/>
    <w:rsid w:val="005B1137"/>
    <w:rsid w:val="005B11FE"/>
    <w:rsid w:val="005B1A07"/>
    <w:rsid w:val="005B1DDE"/>
    <w:rsid w:val="005B2B4F"/>
    <w:rsid w:val="005B3BBE"/>
    <w:rsid w:val="005B438D"/>
    <w:rsid w:val="005B5124"/>
    <w:rsid w:val="005B5277"/>
    <w:rsid w:val="005B5765"/>
    <w:rsid w:val="005B5FCC"/>
    <w:rsid w:val="005B6289"/>
    <w:rsid w:val="005B69E6"/>
    <w:rsid w:val="005B71BD"/>
    <w:rsid w:val="005B75BA"/>
    <w:rsid w:val="005B7E53"/>
    <w:rsid w:val="005B7FA5"/>
    <w:rsid w:val="005C0E3E"/>
    <w:rsid w:val="005C1D59"/>
    <w:rsid w:val="005C395E"/>
    <w:rsid w:val="005C3A7C"/>
    <w:rsid w:val="005C3B32"/>
    <w:rsid w:val="005C3D6B"/>
    <w:rsid w:val="005C409A"/>
    <w:rsid w:val="005C42F2"/>
    <w:rsid w:val="005C4670"/>
    <w:rsid w:val="005C4D59"/>
    <w:rsid w:val="005C50D3"/>
    <w:rsid w:val="005C5B33"/>
    <w:rsid w:val="005C5D3A"/>
    <w:rsid w:val="005C618F"/>
    <w:rsid w:val="005C6203"/>
    <w:rsid w:val="005C6470"/>
    <w:rsid w:val="005C6E66"/>
    <w:rsid w:val="005C70F2"/>
    <w:rsid w:val="005D168A"/>
    <w:rsid w:val="005D24BD"/>
    <w:rsid w:val="005D2933"/>
    <w:rsid w:val="005D2EF4"/>
    <w:rsid w:val="005D35AD"/>
    <w:rsid w:val="005D3CEC"/>
    <w:rsid w:val="005D47EB"/>
    <w:rsid w:val="005D52E9"/>
    <w:rsid w:val="005D6641"/>
    <w:rsid w:val="005E0101"/>
    <w:rsid w:val="005E1185"/>
    <w:rsid w:val="005E1D44"/>
    <w:rsid w:val="005E20F0"/>
    <w:rsid w:val="005E217E"/>
    <w:rsid w:val="005E29E7"/>
    <w:rsid w:val="005E51D7"/>
    <w:rsid w:val="005E586F"/>
    <w:rsid w:val="005E605B"/>
    <w:rsid w:val="005F05FF"/>
    <w:rsid w:val="005F062F"/>
    <w:rsid w:val="005F06D9"/>
    <w:rsid w:val="005F0B4E"/>
    <w:rsid w:val="005F1BB5"/>
    <w:rsid w:val="005F205B"/>
    <w:rsid w:val="005F207F"/>
    <w:rsid w:val="005F3A26"/>
    <w:rsid w:val="005F4FA9"/>
    <w:rsid w:val="005F5470"/>
    <w:rsid w:val="005F56E4"/>
    <w:rsid w:val="005F5805"/>
    <w:rsid w:val="005F622F"/>
    <w:rsid w:val="005F6EE4"/>
    <w:rsid w:val="005F7B36"/>
    <w:rsid w:val="006012DB"/>
    <w:rsid w:val="00601644"/>
    <w:rsid w:val="00601CCD"/>
    <w:rsid w:val="006032C9"/>
    <w:rsid w:val="00604E1A"/>
    <w:rsid w:val="006059BC"/>
    <w:rsid w:val="00605A9A"/>
    <w:rsid w:val="00606A71"/>
    <w:rsid w:val="00606B57"/>
    <w:rsid w:val="00606C54"/>
    <w:rsid w:val="006101F2"/>
    <w:rsid w:val="00610205"/>
    <w:rsid w:val="0061060D"/>
    <w:rsid w:val="006109A4"/>
    <w:rsid w:val="00610DCC"/>
    <w:rsid w:val="00611CA4"/>
    <w:rsid w:val="00612614"/>
    <w:rsid w:val="006128F8"/>
    <w:rsid w:val="00612A09"/>
    <w:rsid w:val="006132F3"/>
    <w:rsid w:val="006143B8"/>
    <w:rsid w:val="00615BD8"/>
    <w:rsid w:val="00615D8F"/>
    <w:rsid w:val="00617757"/>
    <w:rsid w:val="00617C06"/>
    <w:rsid w:val="00620223"/>
    <w:rsid w:val="006202FF"/>
    <w:rsid w:val="00620459"/>
    <w:rsid w:val="00620492"/>
    <w:rsid w:val="00620972"/>
    <w:rsid w:val="00620FF8"/>
    <w:rsid w:val="006221CC"/>
    <w:rsid w:val="00622D38"/>
    <w:rsid w:val="006233A6"/>
    <w:rsid w:val="0062429E"/>
    <w:rsid w:val="00624ACC"/>
    <w:rsid w:val="00624C56"/>
    <w:rsid w:val="00624D54"/>
    <w:rsid w:val="006250AC"/>
    <w:rsid w:val="00625315"/>
    <w:rsid w:val="00625834"/>
    <w:rsid w:val="00626F03"/>
    <w:rsid w:val="00627848"/>
    <w:rsid w:val="00627A3E"/>
    <w:rsid w:val="00630130"/>
    <w:rsid w:val="006305A1"/>
    <w:rsid w:val="00630991"/>
    <w:rsid w:val="00631304"/>
    <w:rsid w:val="00632020"/>
    <w:rsid w:val="00632E33"/>
    <w:rsid w:val="00632EEC"/>
    <w:rsid w:val="0063468C"/>
    <w:rsid w:val="00634DF0"/>
    <w:rsid w:val="006354F8"/>
    <w:rsid w:val="006359A5"/>
    <w:rsid w:val="00635E15"/>
    <w:rsid w:val="00636060"/>
    <w:rsid w:val="00636C49"/>
    <w:rsid w:val="00640291"/>
    <w:rsid w:val="00640A25"/>
    <w:rsid w:val="00640D37"/>
    <w:rsid w:val="00641809"/>
    <w:rsid w:val="00641AC2"/>
    <w:rsid w:val="0064282D"/>
    <w:rsid w:val="00642C27"/>
    <w:rsid w:val="00642DB5"/>
    <w:rsid w:val="00644389"/>
    <w:rsid w:val="0064449F"/>
    <w:rsid w:val="006447C2"/>
    <w:rsid w:val="00644FE1"/>
    <w:rsid w:val="00645E95"/>
    <w:rsid w:val="00645EF2"/>
    <w:rsid w:val="00646070"/>
    <w:rsid w:val="0064709C"/>
    <w:rsid w:val="006470EF"/>
    <w:rsid w:val="006471E0"/>
    <w:rsid w:val="006477DE"/>
    <w:rsid w:val="0064792A"/>
    <w:rsid w:val="00647F59"/>
    <w:rsid w:val="00650A17"/>
    <w:rsid w:val="00650C3C"/>
    <w:rsid w:val="00651E05"/>
    <w:rsid w:val="006522CE"/>
    <w:rsid w:val="006542ED"/>
    <w:rsid w:val="006545B7"/>
    <w:rsid w:val="006545F8"/>
    <w:rsid w:val="006547F2"/>
    <w:rsid w:val="00654A0D"/>
    <w:rsid w:val="006567C2"/>
    <w:rsid w:val="0065756B"/>
    <w:rsid w:val="006578CC"/>
    <w:rsid w:val="00657CC4"/>
    <w:rsid w:val="00660204"/>
    <w:rsid w:val="006605EA"/>
    <w:rsid w:val="00661267"/>
    <w:rsid w:val="00662FBC"/>
    <w:rsid w:val="006647D8"/>
    <w:rsid w:val="00666693"/>
    <w:rsid w:val="006672F1"/>
    <w:rsid w:val="00667483"/>
    <w:rsid w:val="0066764A"/>
    <w:rsid w:val="006707C3"/>
    <w:rsid w:val="0067107D"/>
    <w:rsid w:val="0067139B"/>
    <w:rsid w:val="0067158C"/>
    <w:rsid w:val="00671758"/>
    <w:rsid w:val="006728B3"/>
    <w:rsid w:val="00672D16"/>
    <w:rsid w:val="0067303E"/>
    <w:rsid w:val="006736B8"/>
    <w:rsid w:val="00673971"/>
    <w:rsid w:val="006744F5"/>
    <w:rsid w:val="00674C1A"/>
    <w:rsid w:val="00675113"/>
    <w:rsid w:val="0067614C"/>
    <w:rsid w:val="00676476"/>
    <w:rsid w:val="006766ED"/>
    <w:rsid w:val="0067690F"/>
    <w:rsid w:val="0067691D"/>
    <w:rsid w:val="00676F96"/>
    <w:rsid w:val="006770FB"/>
    <w:rsid w:val="006778D8"/>
    <w:rsid w:val="00680836"/>
    <w:rsid w:val="006809E1"/>
    <w:rsid w:val="00681C9F"/>
    <w:rsid w:val="00681D17"/>
    <w:rsid w:val="00681F6E"/>
    <w:rsid w:val="0068211C"/>
    <w:rsid w:val="00683408"/>
    <w:rsid w:val="00683503"/>
    <w:rsid w:val="00684B57"/>
    <w:rsid w:val="006866B7"/>
    <w:rsid w:val="00686AA1"/>
    <w:rsid w:val="00686ACB"/>
    <w:rsid w:val="00687C88"/>
    <w:rsid w:val="00687D11"/>
    <w:rsid w:val="00690E28"/>
    <w:rsid w:val="00691A40"/>
    <w:rsid w:val="00692119"/>
    <w:rsid w:val="006928BB"/>
    <w:rsid w:val="00692EE0"/>
    <w:rsid w:val="00693BBC"/>
    <w:rsid w:val="00693F3E"/>
    <w:rsid w:val="00696298"/>
    <w:rsid w:val="00697389"/>
    <w:rsid w:val="006A08C4"/>
    <w:rsid w:val="006A1571"/>
    <w:rsid w:val="006A1E21"/>
    <w:rsid w:val="006A22B6"/>
    <w:rsid w:val="006A2515"/>
    <w:rsid w:val="006A286B"/>
    <w:rsid w:val="006A2DA9"/>
    <w:rsid w:val="006A4FFA"/>
    <w:rsid w:val="006A5127"/>
    <w:rsid w:val="006A56AB"/>
    <w:rsid w:val="006A5F32"/>
    <w:rsid w:val="006A6E49"/>
    <w:rsid w:val="006A7A12"/>
    <w:rsid w:val="006A7FA5"/>
    <w:rsid w:val="006B1640"/>
    <w:rsid w:val="006B331F"/>
    <w:rsid w:val="006B48D4"/>
    <w:rsid w:val="006B4D70"/>
    <w:rsid w:val="006B689E"/>
    <w:rsid w:val="006B6B14"/>
    <w:rsid w:val="006B7355"/>
    <w:rsid w:val="006C076D"/>
    <w:rsid w:val="006C11EA"/>
    <w:rsid w:val="006C15B7"/>
    <w:rsid w:val="006C2714"/>
    <w:rsid w:val="006C2AC8"/>
    <w:rsid w:val="006C2AF2"/>
    <w:rsid w:val="006C2D57"/>
    <w:rsid w:val="006C3835"/>
    <w:rsid w:val="006C5975"/>
    <w:rsid w:val="006C5D32"/>
    <w:rsid w:val="006D04C4"/>
    <w:rsid w:val="006D1086"/>
    <w:rsid w:val="006D300A"/>
    <w:rsid w:val="006D3A36"/>
    <w:rsid w:val="006D4265"/>
    <w:rsid w:val="006D46CC"/>
    <w:rsid w:val="006D57B5"/>
    <w:rsid w:val="006D5E52"/>
    <w:rsid w:val="006D6625"/>
    <w:rsid w:val="006D664C"/>
    <w:rsid w:val="006D6F5F"/>
    <w:rsid w:val="006E04FF"/>
    <w:rsid w:val="006E0ACF"/>
    <w:rsid w:val="006E0D1C"/>
    <w:rsid w:val="006E1BBB"/>
    <w:rsid w:val="006E1D8B"/>
    <w:rsid w:val="006E2379"/>
    <w:rsid w:val="006E30E5"/>
    <w:rsid w:val="006E3293"/>
    <w:rsid w:val="006E47C5"/>
    <w:rsid w:val="006E4A51"/>
    <w:rsid w:val="006E522C"/>
    <w:rsid w:val="006E55BA"/>
    <w:rsid w:val="006E5DF6"/>
    <w:rsid w:val="006E6661"/>
    <w:rsid w:val="006E6876"/>
    <w:rsid w:val="006E6E9B"/>
    <w:rsid w:val="006E6EB3"/>
    <w:rsid w:val="006E7A4A"/>
    <w:rsid w:val="006E7F83"/>
    <w:rsid w:val="006F09D0"/>
    <w:rsid w:val="006F1592"/>
    <w:rsid w:val="006F2789"/>
    <w:rsid w:val="006F313A"/>
    <w:rsid w:val="006F32C6"/>
    <w:rsid w:val="006F34DF"/>
    <w:rsid w:val="006F3DF1"/>
    <w:rsid w:val="006F55A8"/>
    <w:rsid w:val="006F588B"/>
    <w:rsid w:val="006F5EC7"/>
    <w:rsid w:val="006F6629"/>
    <w:rsid w:val="00700156"/>
    <w:rsid w:val="007001C2"/>
    <w:rsid w:val="007009A2"/>
    <w:rsid w:val="007009FA"/>
    <w:rsid w:val="00701855"/>
    <w:rsid w:val="00701DBF"/>
    <w:rsid w:val="00702452"/>
    <w:rsid w:val="007027FA"/>
    <w:rsid w:val="00702B4A"/>
    <w:rsid w:val="00703729"/>
    <w:rsid w:val="00703ACD"/>
    <w:rsid w:val="00703D38"/>
    <w:rsid w:val="00703E83"/>
    <w:rsid w:val="00704A33"/>
    <w:rsid w:val="00706043"/>
    <w:rsid w:val="0070697F"/>
    <w:rsid w:val="00707E85"/>
    <w:rsid w:val="00710160"/>
    <w:rsid w:val="0071032F"/>
    <w:rsid w:val="00710456"/>
    <w:rsid w:val="0071052F"/>
    <w:rsid w:val="00710792"/>
    <w:rsid w:val="00710D34"/>
    <w:rsid w:val="0071191F"/>
    <w:rsid w:val="00711A88"/>
    <w:rsid w:val="00711CD3"/>
    <w:rsid w:val="00711D3E"/>
    <w:rsid w:val="0071209E"/>
    <w:rsid w:val="0071263F"/>
    <w:rsid w:val="0071266A"/>
    <w:rsid w:val="00713876"/>
    <w:rsid w:val="0071389E"/>
    <w:rsid w:val="007141EF"/>
    <w:rsid w:val="00714274"/>
    <w:rsid w:val="00714459"/>
    <w:rsid w:val="007145B9"/>
    <w:rsid w:val="00714E50"/>
    <w:rsid w:val="00714FFB"/>
    <w:rsid w:val="0071576A"/>
    <w:rsid w:val="00715964"/>
    <w:rsid w:val="00715A3E"/>
    <w:rsid w:val="00717300"/>
    <w:rsid w:val="007201CC"/>
    <w:rsid w:val="00720B0B"/>
    <w:rsid w:val="00721629"/>
    <w:rsid w:val="00721B0B"/>
    <w:rsid w:val="00722630"/>
    <w:rsid w:val="00722918"/>
    <w:rsid w:val="00722E90"/>
    <w:rsid w:val="00723887"/>
    <w:rsid w:val="00723D2D"/>
    <w:rsid w:val="00723FF8"/>
    <w:rsid w:val="007244B9"/>
    <w:rsid w:val="00724D47"/>
    <w:rsid w:val="00724E46"/>
    <w:rsid w:val="007262F6"/>
    <w:rsid w:val="00730B8E"/>
    <w:rsid w:val="0073130B"/>
    <w:rsid w:val="00732EDB"/>
    <w:rsid w:val="00733D5C"/>
    <w:rsid w:val="00734305"/>
    <w:rsid w:val="00734DFE"/>
    <w:rsid w:val="00735659"/>
    <w:rsid w:val="007357AB"/>
    <w:rsid w:val="00735814"/>
    <w:rsid w:val="0073596E"/>
    <w:rsid w:val="00735BA7"/>
    <w:rsid w:val="007361EA"/>
    <w:rsid w:val="007363AD"/>
    <w:rsid w:val="00737EB0"/>
    <w:rsid w:val="00740464"/>
    <w:rsid w:val="00740628"/>
    <w:rsid w:val="00740771"/>
    <w:rsid w:val="00741A4A"/>
    <w:rsid w:val="007429EE"/>
    <w:rsid w:val="00742A87"/>
    <w:rsid w:val="00742D6D"/>
    <w:rsid w:val="00743439"/>
    <w:rsid w:val="00743521"/>
    <w:rsid w:val="00743841"/>
    <w:rsid w:val="007439E5"/>
    <w:rsid w:val="00743EC4"/>
    <w:rsid w:val="00744467"/>
    <w:rsid w:val="0074488C"/>
    <w:rsid w:val="00745D39"/>
    <w:rsid w:val="00747726"/>
    <w:rsid w:val="0075061D"/>
    <w:rsid w:val="00751DBA"/>
    <w:rsid w:val="00752416"/>
    <w:rsid w:val="00752C63"/>
    <w:rsid w:val="00752EF2"/>
    <w:rsid w:val="00753AB9"/>
    <w:rsid w:val="00754F14"/>
    <w:rsid w:val="0075563B"/>
    <w:rsid w:val="00755DA1"/>
    <w:rsid w:val="0075683F"/>
    <w:rsid w:val="0075701A"/>
    <w:rsid w:val="00757E71"/>
    <w:rsid w:val="00761113"/>
    <w:rsid w:val="007613A8"/>
    <w:rsid w:val="00761FDF"/>
    <w:rsid w:val="00762AD0"/>
    <w:rsid w:val="007631C9"/>
    <w:rsid w:val="0076345E"/>
    <w:rsid w:val="007640AE"/>
    <w:rsid w:val="00764E02"/>
    <w:rsid w:val="00767D9C"/>
    <w:rsid w:val="007700FC"/>
    <w:rsid w:val="0077028B"/>
    <w:rsid w:val="00771EF4"/>
    <w:rsid w:val="00772013"/>
    <w:rsid w:val="007727E5"/>
    <w:rsid w:val="00774789"/>
    <w:rsid w:val="00774C42"/>
    <w:rsid w:val="00774C4C"/>
    <w:rsid w:val="00774D51"/>
    <w:rsid w:val="00775013"/>
    <w:rsid w:val="00775FDD"/>
    <w:rsid w:val="00777CA3"/>
    <w:rsid w:val="007809DA"/>
    <w:rsid w:val="0078267C"/>
    <w:rsid w:val="00782FD5"/>
    <w:rsid w:val="007836AF"/>
    <w:rsid w:val="007837A3"/>
    <w:rsid w:val="007852D8"/>
    <w:rsid w:val="00785D28"/>
    <w:rsid w:val="007866E6"/>
    <w:rsid w:val="007867CF"/>
    <w:rsid w:val="00786DE7"/>
    <w:rsid w:val="00787B00"/>
    <w:rsid w:val="007908E3"/>
    <w:rsid w:val="00790C79"/>
    <w:rsid w:val="007911AC"/>
    <w:rsid w:val="0079168C"/>
    <w:rsid w:val="00791891"/>
    <w:rsid w:val="00791EE4"/>
    <w:rsid w:val="00792B7E"/>
    <w:rsid w:val="00792D2F"/>
    <w:rsid w:val="007933DE"/>
    <w:rsid w:val="00793E1F"/>
    <w:rsid w:val="007949DC"/>
    <w:rsid w:val="00795535"/>
    <w:rsid w:val="00795E6C"/>
    <w:rsid w:val="00795FFF"/>
    <w:rsid w:val="007963E5"/>
    <w:rsid w:val="00796BAA"/>
    <w:rsid w:val="00796EAF"/>
    <w:rsid w:val="007979A4"/>
    <w:rsid w:val="00797CBB"/>
    <w:rsid w:val="007A01D6"/>
    <w:rsid w:val="007A050B"/>
    <w:rsid w:val="007A19F8"/>
    <w:rsid w:val="007A1A8E"/>
    <w:rsid w:val="007A2428"/>
    <w:rsid w:val="007A2D3D"/>
    <w:rsid w:val="007A3065"/>
    <w:rsid w:val="007A472D"/>
    <w:rsid w:val="007A50DD"/>
    <w:rsid w:val="007A5645"/>
    <w:rsid w:val="007A596E"/>
    <w:rsid w:val="007A6815"/>
    <w:rsid w:val="007A7850"/>
    <w:rsid w:val="007A7D93"/>
    <w:rsid w:val="007B09CC"/>
    <w:rsid w:val="007B2616"/>
    <w:rsid w:val="007B28D4"/>
    <w:rsid w:val="007B298A"/>
    <w:rsid w:val="007B2F1E"/>
    <w:rsid w:val="007B34AA"/>
    <w:rsid w:val="007B3A3D"/>
    <w:rsid w:val="007B41E8"/>
    <w:rsid w:val="007B490B"/>
    <w:rsid w:val="007B5066"/>
    <w:rsid w:val="007B6068"/>
    <w:rsid w:val="007B6203"/>
    <w:rsid w:val="007B7414"/>
    <w:rsid w:val="007B7668"/>
    <w:rsid w:val="007C1608"/>
    <w:rsid w:val="007C2CD3"/>
    <w:rsid w:val="007C3225"/>
    <w:rsid w:val="007C46BD"/>
    <w:rsid w:val="007C6FEC"/>
    <w:rsid w:val="007C7232"/>
    <w:rsid w:val="007C75F3"/>
    <w:rsid w:val="007D06B0"/>
    <w:rsid w:val="007D086F"/>
    <w:rsid w:val="007D0C2B"/>
    <w:rsid w:val="007D1146"/>
    <w:rsid w:val="007D19D9"/>
    <w:rsid w:val="007D271D"/>
    <w:rsid w:val="007D2982"/>
    <w:rsid w:val="007D2C4E"/>
    <w:rsid w:val="007D33F4"/>
    <w:rsid w:val="007D3CCF"/>
    <w:rsid w:val="007D3D10"/>
    <w:rsid w:val="007D3EFC"/>
    <w:rsid w:val="007D45DB"/>
    <w:rsid w:val="007D49F8"/>
    <w:rsid w:val="007D574C"/>
    <w:rsid w:val="007D5764"/>
    <w:rsid w:val="007D6625"/>
    <w:rsid w:val="007E0D82"/>
    <w:rsid w:val="007E0E0C"/>
    <w:rsid w:val="007E146C"/>
    <w:rsid w:val="007E186E"/>
    <w:rsid w:val="007E199C"/>
    <w:rsid w:val="007E1B3C"/>
    <w:rsid w:val="007E23DE"/>
    <w:rsid w:val="007E3CCB"/>
    <w:rsid w:val="007E5585"/>
    <w:rsid w:val="007E5899"/>
    <w:rsid w:val="007E73DB"/>
    <w:rsid w:val="007F0C9E"/>
    <w:rsid w:val="007F159D"/>
    <w:rsid w:val="007F1778"/>
    <w:rsid w:val="007F3616"/>
    <w:rsid w:val="007F3EF6"/>
    <w:rsid w:val="007F5352"/>
    <w:rsid w:val="007F568B"/>
    <w:rsid w:val="007F620C"/>
    <w:rsid w:val="007F6403"/>
    <w:rsid w:val="007F6E52"/>
    <w:rsid w:val="00800319"/>
    <w:rsid w:val="00800342"/>
    <w:rsid w:val="00800FEC"/>
    <w:rsid w:val="008013AC"/>
    <w:rsid w:val="00801A0E"/>
    <w:rsid w:val="0080209A"/>
    <w:rsid w:val="00802974"/>
    <w:rsid w:val="00802B89"/>
    <w:rsid w:val="00802DA1"/>
    <w:rsid w:val="008030CB"/>
    <w:rsid w:val="008032C3"/>
    <w:rsid w:val="008034C9"/>
    <w:rsid w:val="00804CBE"/>
    <w:rsid w:val="008063DF"/>
    <w:rsid w:val="00806D66"/>
    <w:rsid w:val="008070C7"/>
    <w:rsid w:val="0080776A"/>
    <w:rsid w:val="00811E67"/>
    <w:rsid w:val="008125F0"/>
    <w:rsid w:val="0081278B"/>
    <w:rsid w:val="008136B3"/>
    <w:rsid w:val="0081469E"/>
    <w:rsid w:val="008149D4"/>
    <w:rsid w:val="0081559D"/>
    <w:rsid w:val="00816385"/>
    <w:rsid w:val="00817B03"/>
    <w:rsid w:val="00820573"/>
    <w:rsid w:val="008205C0"/>
    <w:rsid w:val="008212B5"/>
    <w:rsid w:val="00821FEE"/>
    <w:rsid w:val="00822326"/>
    <w:rsid w:val="008226CE"/>
    <w:rsid w:val="00823478"/>
    <w:rsid w:val="00823BB4"/>
    <w:rsid w:val="008245C8"/>
    <w:rsid w:val="008249CE"/>
    <w:rsid w:val="0082545A"/>
    <w:rsid w:val="00825CD9"/>
    <w:rsid w:val="0082768D"/>
    <w:rsid w:val="00827997"/>
    <w:rsid w:val="00827FBB"/>
    <w:rsid w:val="00830100"/>
    <w:rsid w:val="00831161"/>
    <w:rsid w:val="00831D62"/>
    <w:rsid w:val="00832AE6"/>
    <w:rsid w:val="00832B93"/>
    <w:rsid w:val="00832BB1"/>
    <w:rsid w:val="00833752"/>
    <w:rsid w:val="00834496"/>
    <w:rsid w:val="00834501"/>
    <w:rsid w:val="00834A18"/>
    <w:rsid w:val="00834A39"/>
    <w:rsid w:val="00834D5B"/>
    <w:rsid w:val="00834DB9"/>
    <w:rsid w:val="008352DF"/>
    <w:rsid w:val="008353B4"/>
    <w:rsid w:val="008357CA"/>
    <w:rsid w:val="008363C7"/>
    <w:rsid w:val="008369E5"/>
    <w:rsid w:val="00836A89"/>
    <w:rsid w:val="00841EB0"/>
    <w:rsid w:val="00844A5C"/>
    <w:rsid w:val="00845107"/>
    <w:rsid w:val="0084570B"/>
    <w:rsid w:val="00845828"/>
    <w:rsid w:val="008465C5"/>
    <w:rsid w:val="008467D1"/>
    <w:rsid w:val="00846D44"/>
    <w:rsid w:val="00847CE7"/>
    <w:rsid w:val="0085068D"/>
    <w:rsid w:val="008513A2"/>
    <w:rsid w:val="0085217A"/>
    <w:rsid w:val="00853246"/>
    <w:rsid w:val="0085349E"/>
    <w:rsid w:val="00854443"/>
    <w:rsid w:val="008545D0"/>
    <w:rsid w:val="008546A0"/>
    <w:rsid w:val="00854DE8"/>
    <w:rsid w:val="00855943"/>
    <w:rsid w:val="00856758"/>
    <w:rsid w:val="00857A29"/>
    <w:rsid w:val="00860112"/>
    <w:rsid w:val="0086053B"/>
    <w:rsid w:val="00860D42"/>
    <w:rsid w:val="00860F23"/>
    <w:rsid w:val="00861302"/>
    <w:rsid w:val="0086188A"/>
    <w:rsid w:val="008624CE"/>
    <w:rsid w:val="00862D02"/>
    <w:rsid w:val="00863F56"/>
    <w:rsid w:val="00864C2D"/>
    <w:rsid w:val="00865AAC"/>
    <w:rsid w:val="00865CBD"/>
    <w:rsid w:val="00870139"/>
    <w:rsid w:val="008718F8"/>
    <w:rsid w:val="00871BF5"/>
    <w:rsid w:val="0087259B"/>
    <w:rsid w:val="00872F48"/>
    <w:rsid w:val="00873CF4"/>
    <w:rsid w:val="008748E9"/>
    <w:rsid w:val="00874B24"/>
    <w:rsid w:val="008753F9"/>
    <w:rsid w:val="00875D5F"/>
    <w:rsid w:val="00876189"/>
    <w:rsid w:val="00877737"/>
    <w:rsid w:val="008803A9"/>
    <w:rsid w:val="00880638"/>
    <w:rsid w:val="008807DA"/>
    <w:rsid w:val="008814C6"/>
    <w:rsid w:val="008835B5"/>
    <w:rsid w:val="008838B0"/>
    <w:rsid w:val="00883E26"/>
    <w:rsid w:val="00883F4E"/>
    <w:rsid w:val="00883FEC"/>
    <w:rsid w:val="00884170"/>
    <w:rsid w:val="008841AB"/>
    <w:rsid w:val="008843DA"/>
    <w:rsid w:val="00885273"/>
    <w:rsid w:val="00885361"/>
    <w:rsid w:val="008857DE"/>
    <w:rsid w:val="00886625"/>
    <w:rsid w:val="008870EE"/>
    <w:rsid w:val="00887868"/>
    <w:rsid w:val="008900BE"/>
    <w:rsid w:val="00890270"/>
    <w:rsid w:val="00891960"/>
    <w:rsid w:val="00891A33"/>
    <w:rsid w:val="008920E8"/>
    <w:rsid w:val="008927EB"/>
    <w:rsid w:val="0089320B"/>
    <w:rsid w:val="00893539"/>
    <w:rsid w:val="00893A1E"/>
    <w:rsid w:val="00893C9D"/>
    <w:rsid w:val="00893CB4"/>
    <w:rsid w:val="00893ED2"/>
    <w:rsid w:val="008945DF"/>
    <w:rsid w:val="00894CE2"/>
    <w:rsid w:val="00895755"/>
    <w:rsid w:val="00895A85"/>
    <w:rsid w:val="00895DDE"/>
    <w:rsid w:val="00896E17"/>
    <w:rsid w:val="008970AB"/>
    <w:rsid w:val="008973FC"/>
    <w:rsid w:val="00897B21"/>
    <w:rsid w:val="00897B8A"/>
    <w:rsid w:val="008A06FB"/>
    <w:rsid w:val="008A07F7"/>
    <w:rsid w:val="008A1F7C"/>
    <w:rsid w:val="008A3700"/>
    <w:rsid w:val="008A3745"/>
    <w:rsid w:val="008A4703"/>
    <w:rsid w:val="008A4F68"/>
    <w:rsid w:val="008A5314"/>
    <w:rsid w:val="008A653D"/>
    <w:rsid w:val="008A7113"/>
    <w:rsid w:val="008A72AE"/>
    <w:rsid w:val="008B0988"/>
    <w:rsid w:val="008B0A8C"/>
    <w:rsid w:val="008B1AA7"/>
    <w:rsid w:val="008B20A1"/>
    <w:rsid w:val="008B2D13"/>
    <w:rsid w:val="008B35A9"/>
    <w:rsid w:val="008B515D"/>
    <w:rsid w:val="008B7BE1"/>
    <w:rsid w:val="008C181E"/>
    <w:rsid w:val="008C24F4"/>
    <w:rsid w:val="008C2898"/>
    <w:rsid w:val="008C2CCD"/>
    <w:rsid w:val="008C3557"/>
    <w:rsid w:val="008C3B82"/>
    <w:rsid w:val="008C4ECF"/>
    <w:rsid w:val="008C4F35"/>
    <w:rsid w:val="008C5223"/>
    <w:rsid w:val="008C55BF"/>
    <w:rsid w:val="008C581E"/>
    <w:rsid w:val="008C5A2B"/>
    <w:rsid w:val="008C6CFF"/>
    <w:rsid w:val="008D04FB"/>
    <w:rsid w:val="008D0CB7"/>
    <w:rsid w:val="008D12A5"/>
    <w:rsid w:val="008D166C"/>
    <w:rsid w:val="008D2328"/>
    <w:rsid w:val="008D2340"/>
    <w:rsid w:val="008D2561"/>
    <w:rsid w:val="008D2997"/>
    <w:rsid w:val="008D2C87"/>
    <w:rsid w:val="008D30B1"/>
    <w:rsid w:val="008D329F"/>
    <w:rsid w:val="008D4C10"/>
    <w:rsid w:val="008D545D"/>
    <w:rsid w:val="008D58BF"/>
    <w:rsid w:val="008D5CD4"/>
    <w:rsid w:val="008D62A3"/>
    <w:rsid w:val="008D764D"/>
    <w:rsid w:val="008E00A1"/>
    <w:rsid w:val="008E1B45"/>
    <w:rsid w:val="008E336B"/>
    <w:rsid w:val="008E3662"/>
    <w:rsid w:val="008E54B7"/>
    <w:rsid w:val="008E7038"/>
    <w:rsid w:val="008E72BE"/>
    <w:rsid w:val="008E7709"/>
    <w:rsid w:val="008F085D"/>
    <w:rsid w:val="008F0BDF"/>
    <w:rsid w:val="008F0C7A"/>
    <w:rsid w:val="008F14E9"/>
    <w:rsid w:val="008F1667"/>
    <w:rsid w:val="008F1CD9"/>
    <w:rsid w:val="008F2165"/>
    <w:rsid w:val="008F23D5"/>
    <w:rsid w:val="008F2918"/>
    <w:rsid w:val="008F2F7E"/>
    <w:rsid w:val="008F3140"/>
    <w:rsid w:val="008F3C67"/>
    <w:rsid w:val="008F3D2B"/>
    <w:rsid w:val="008F4FC4"/>
    <w:rsid w:val="008F51C1"/>
    <w:rsid w:val="008F55AE"/>
    <w:rsid w:val="008F5C82"/>
    <w:rsid w:val="008F620A"/>
    <w:rsid w:val="008F6587"/>
    <w:rsid w:val="008F7704"/>
    <w:rsid w:val="00900200"/>
    <w:rsid w:val="00900FCC"/>
    <w:rsid w:val="009018A6"/>
    <w:rsid w:val="00903420"/>
    <w:rsid w:val="00903B91"/>
    <w:rsid w:val="00903DAD"/>
    <w:rsid w:val="009046C7"/>
    <w:rsid w:val="00905AD8"/>
    <w:rsid w:val="00905D56"/>
    <w:rsid w:val="00906A9A"/>
    <w:rsid w:val="009073EE"/>
    <w:rsid w:val="00911E24"/>
    <w:rsid w:val="00911F43"/>
    <w:rsid w:val="00911FA5"/>
    <w:rsid w:val="0091340A"/>
    <w:rsid w:val="0091364D"/>
    <w:rsid w:val="00913AF8"/>
    <w:rsid w:val="00914955"/>
    <w:rsid w:val="009149D1"/>
    <w:rsid w:val="009151BB"/>
    <w:rsid w:val="00915B53"/>
    <w:rsid w:val="00916523"/>
    <w:rsid w:val="009165E2"/>
    <w:rsid w:val="0091689C"/>
    <w:rsid w:val="009175A9"/>
    <w:rsid w:val="00917FBC"/>
    <w:rsid w:val="00920D7A"/>
    <w:rsid w:val="00920DA9"/>
    <w:rsid w:val="009210A4"/>
    <w:rsid w:val="009211BB"/>
    <w:rsid w:val="0092126E"/>
    <w:rsid w:val="009212BA"/>
    <w:rsid w:val="00921B9C"/>
    <w:rsid w:val="00922CEC"/>
    <w:rsid w:val="00923E06"/>
    <w:rsid w:val="00923E5D"/>
    <w:rsid w:val="00923FFE"/>
    <w:rsid w:val="00924B8A"/>
    <w:rsid w:val="00926256"/>
    <w:rsid w:val="00926EE5"/>
    <w:rsid w:val="009270F5"/>
    <w:rsid w:val="009274B9"/>
    <w:rsid w:val="00930F5A"/>
    <w:rsid w:val="009317FA"/>
    <w:rsid w:val="00932363"/>
    <w:rsid w:val="00932458"/>
    <w:rsid w:val="009328B0"/>
    <w:rsid w:val="00932FCB"/>
    <w:rsid w:val="0093408C"/>
    <w:rsid w:val="0093537B"/>
    <w:rsid w:val="00935AC7"/>
    <w:rsid w:val="009364CE"/>
    <w:rsid w:val="009366E0"/>
    <w:rsid w:val="00936C18"/>
    <w:rsid w:val="00937631"/>
    <w:rsid w:val="0093767C"/>
    <w:rsid w:val="00937748"/>
    <w:rsid w:val="00937B3A"/>
    <w:rsid w:val="00937CA3"/>
    <w:rsid w:val="00940267"/>
    <w:rsid w:val="0094148C"/>
    <w:rsid w:val="0094327B"/>
    <w:rsid w:val="00943859"/>
    <w:rsid w:val="009452D7"/>
    <w:rsid w:val="00945500"/>
    <w:rsid w:val="00945989"/>
    <w:rsid w:val="0094601D"/>
    <w:rsid w:val="00946ECD"/>
    <w:rsid w:val="00946FB9"/>
    <w:rsid w:val="009476F4"/>
    <w:rsid w:val="00947A89"/>
    <w:rsid w:val="009509EE"/>
    <w:rsid w:val="00951AF5"/>
    <w:rsid w:val="00951BB1"/>
    <w:rsid w:val="00953FD7"/>
    <w:rsid w:val="0095408D"/>
    <w:rsid w:val="00954C8A"/>
    <w:rsid w:val="00954DF5"/>
    <w:rsid w:val="00955D1E"/>
    <w:rsid w:val="0095606B"/>
    <w:rsid w:val="009564AD"/>
    <w:rsid w:val="0095694E"/>
    <w:rsid w:val="00957138"/>
    <w:rsid w:val="00957426"/>
    <w:rsid w:val="009578CF"/>
    <w:rsid w:val="00960133"/>
    <w:rsid w:val="009601F6"/>
    <w:rsid w:val="00960856"/>
    <w:rsid w:val="00960E49"/>
    <w:rsid w:val="009611C5"/>
    <w:rsid w:val="009615FE"/>
    <w:rsid w:val="00962057"/>
    <w:rsid w:val="009623C9"/>
    <w:rsid w:val="00962A87"/>
    <w:rsid w:val="0096360E"/>
    <w:rsid w:val="00963A4E"/>
    <w:rsid w:val="00964598"/>
    <w:rsid w:val="009649DE"/>
    <w:rsid w:val="00965BCB"/>
    <w:rsid w:val="00965C73"/>
    <w:rsid w:val="00965C93"/>
    <w:rsid w:val="00966230"/>
    <w:rsid w:val="009662A9"/>
    <w:rsid w:val="009669A1"/>
    <w:rsid w:val="009674B0"/>
    <w:rsid w:val="0096763D"/>
    <w:rsid w:val="00967815"/>
    <w:rsid w:val="00970848"/>
    <w:rsid w:val="009710F0"/>
    <w:rsid w:val="0097178C"/>
    <w:rsid w:val="0097198A"/>
    <w:rsid w:val="00972DA0"/>
    <w:rsid w:val="009730BB"/>
    <w:rsid w:val="009734DD"/>
    <w:rsid w:val="00977754"/>
    <w:rsid w:val="00977766"/>
    <w:rsid w:val="0097777A"/>
    <w:rsid w:val="00977AE7"/>
    <w:rsid w:val="00977DE3"/>
    <w:rsid w:val="009802BC"/>
    <w:rsid w:val="009808C6"/>
    <w:rsid w:val="00980B5B"/>
    <w:rsid w:val="00981024"/>
    <w:rsid w:val="009819EB"/>
    <w:rsid w:val="009847C2"/>
    <w:rsid w:val="009849B8"/>
    <w:rsid w:val="00984E84"/>
    <w:rsid w:val="00985A40"/>
    <w:rsid w:val="00985BCC"/>
    <w:rsid w:val="0098614C"/>
    <w:rsid w:val="00986B9F"/>
    <w:rsid w:val="00987FA1"/>
    <w:rsid w:val="00990002"/>
    <w:rsid w:val="009906B7"/>
    <w:rsid w:val="00990AA5"/>
    <w:rsid w:val="00990BE7"/>
    <w:rsid w:val="00990CB9"/>
    <w:rsid w:val="009915BE"/>
    <w:rsid w:val="0099271A"/>
    <w:rsid w:val="00992E20"/>
    <w:rsid w:val="0099367A"/>
    <w:rsid w:val="009938F5"/>
    <w:rsid w:val="00993B43"/>
    <w:rsid w:val="009943ED"/>
    <w:rsid w:val="009943FC"/>
    <w:rsid w:val="00994986"/>
    <w:rsid w:val="00995113"/>
    <w:rsid w:val="00995A8A"/>
    <w:rsid w:val="00995EE0"/>
    <w:rsid w:val="009966BD"/>
    <w:rsid w:val="009967CD"/>
    <w:rsid w:val="00996A7E"/>
    <w:rsid w:val="00997BD7"/>
    <w:rsid w:val="009A056F"/>
    <w:rsid w:val="009A0DCD"/>
    <w:rsid w:val="009A1688"/>
    <w:rsid w:val="009A22FA"/>
    <w:rsid w:val="009A2C0D"/>
    <w:rsid w:val="009A318C"/>
    <w:rsid w:val="009A44F0"/>
    <w:rsid w:val="009A485C"/>
    <w:rsid w:val="009A4A3F"/>
    <w:rsid w:val="009A6023"/>
    <w:rsid w:val="009A64F7"/>
    <w:rsid w:val="009A70FD"/>
    <w:rsid w:val="009A7688"/>
    <w:rsid w:val="009A7B33"/>
    <w:rsid w:val="009A7CFC"/>
    <w:rsid w:val="009B100B"/>
    <w:rsid w:val="009B1484"/>
    <w:rsid w:val="009B1B64"/>
    <w:rsid w:val="009B1CFE"/>
    <w:rsid w:val="009B213A"/>
    <w:rsid w:val="009B33AF"/>
    <w:rsid w:val="009B3EE5"/>
    <w:rsid w:val="009B3FA6"/>
    <w:rsid w:val="009B4A8F"/>
    <w:rsid w:val="009B51B0"/>
    <w:rsid w:val="009B5B4A"/>
    <w:rsid w:val="009B7C23"/>
    <w:rsid w:val="009C32CA"/>
    <w:rsid w:val="009C3CC2"/>
    <w:rsid w:val="009C4D76"/>
    <w:rsid w:val="009C653D"/>
    <w:rsid w:val="009C690F"/>
    <w:rsid w:val="009C69B2"/>
    <w:rsid w:val="009C6F7B"/>
    <w:rsid w:val="009C7CCF"/>
    <w:rsid w:val="009D02F7"/>
    <w:rsid w:val="009D08D6"/>
    <w:rsid w:val="009D2C29"/>
    <w:rsid w:val="009D357E"/>
    <w:rsid w:val="009D5BD1"/>
    <w:rsid w:val="009D5BFE"/>
    <w:rsid w:val="009D5EDA"/>
    <w:rsid w:val="009E0376"/>
    <w:rsid w:val="009E04DC"/>
    <w:rsid w:val="009E0F16"/>
    <w:rsid w:val="009E1596"/>
    <w:rsid w:val="009E1E7F"/>
    <w:rsid w:val="009E3056"/>
    <w:rsid w:val="009E3131"/>
    <w:rsid w:val="009E477D"/>
    <w:rsid w:val="009E481C"/>
    <w:rsid w:val="009E50B2"/>
    <w:rsid w:val="009E5FAF"/>
    <w:rsid w:val="009E62FC"/>
    <w:rsid w:val="009E647B"/>
    <w:rsid w:val="009E653B"/>
    <w:rsid w:val="009E6CB3"/>
    <w:rsid w:val="009E762D"/>
    <w:rsid w:val="009E7779"/>
    <w:rsid w:val="009E7D7A"/>
    <w:rsid w:val="009F150D"/>
    <w:rsid w:val="009F1780"/>
    <w:rsid w:val="009F1A12"/>
    <w:rsid w:val="009F1FB0"/>
    <w:rsid w:val="009F25A3"/>
    <w:rsid w:val="009F27F0"/>
    <w:rsid w:val="009F3359"/>
    <w:rsid w:val="009F548D"/>
    <w:rsid w:val="009F6CD4"/>
    <w:rsid w:val="009F7360"/>
    <w:rsid w:val="009F7D9C"/>
    <w:rsid w:val="009F7FF7"/>
    <w:rsid w:val="00A00CA9"/>
    <w:rsid w:val="00A0147E"/>
    <w:rsid w:val="00A016DA"/>
    <w:rsid w:val="00A0187C"/>
    <w:rsid w:val="00A01E69"/>
    <w:rsid w:val="00A01FB4"/>
    <w:rsid w:val="00A02AD5"/>
    <w:rsid w:val="00A0321E"/>
    <w:rsid w:val="00A033ED"/>
    <w:rsid w:val="00A03C3A"/>
    <w:rsid w:val="00A03D84"/>
    <w:rsid w:val="00A0408C"/>
    <w:rsid w:val="00A042D0"/>
    <w:rsid w:val="00A04C48"/>
    <w:rsid w:val="00A04F42"/>
    <w:rsid w:val="00A05AFE"/>
    <w:rsid w:val="00A06496"/>
    <w:rsid w:val="00A065F4"/>
    <w:rsid w:val="00A06EEA"/>
    <w:rsid w:val="00A0700E"/>
    <w:rsid w:val="00A11113"/>
    <w:rsid w:val="00A11695"/>
    <w:rsid w:val="00A1352F"/>
    <w:rsid w:val="00A15289"/>
    <w:rsid w:val="00A1540F"/>
    <w:rsid w:val="00A1588F"/>
    <w:rsid w:val="00A16A3F"/>
    <w:rsid w:val="00A17154"/>
    <w:rsid w:val="00A22430"/>
    <w:rsid w:val="00A2337E"/>
    <w:rsid w:val="00A23C9C"/>
    <w:rsid w:val="00A2452F"/>
    <w:rsid w:val="00A24D06"/>
    <w:rsid w:val="00A24DF2"/>
    <w:rsid w:val="00A2509E"/>
    <w:rsid w:val="00A25B88"/>
    <w:rsid w:val="00A25FC8"/>
    <w:rsid w:val="00A272B4"/>
    <w:rsid w:val="00A30276"/>
    <w:rsid w:val="00A31490"/>
    <w:rsid w:val="00A31628"/>
    <w:rsid w:val="00A31F22"/>
    <w:rsid w:val="00A32196"/>
    <w:rsid w:val="00A329EC"/>
    <w:rsid w:val="00A33302"/>
    <w:rsid w:val="00A33430"/>
    <w:rsid w:val="00A334DA"/>
    <w:rsid w:val="00A34BAE"/>
    <w:rsid w:val="00A34DAD"/>
    <w:rsid w:val="00A35A00"/>
    <w:rsid w:val="00A35AEC"/>
    <w:rsid w:val="00A369FB"/>
    <w:rsid w:val="00A36B62"/>
    <w:rsid w:val="00A36BB5"/>
    <w:rsid w:val="00A37553"/>
    <w:rsid w:val="00A37751"/>
    <w:rsid w:val="00A37938"/>
    <w:rsid w:val="00A40530"/>
    <w:rsid w:val="00A405D0"/>
    <w:rsid w:val="00A40C76"/>
    <w:rsid w:val="00A40E98"/>
    <w:rsid w:val="00A40ECF"/>
    <w:rsid w:val="00A4116E"/>
    <w:rsid w:val="00A41E27"/>
    <w:rsid w:val="00A42910"/>
    <w:rsid w:val="00A432B4"/>
    <w:rsid w:val="00A43B91"/>
    <w:rsid w:val="00A441D8"/>
    <w:rsid w:val="00A44BA4"/>
    <w:rsid w:val="00A45198"/>
    <w:rsid w:val="00A47C66"/>
    <w:rsid w:val="00A516C2"/>
    <w:rsid w:val="00A516F8"/>
    <w:rsid w:val="00A52385"/>
    <w:rsid w:val="00A53A6B"/>
    <w:rsid w:val="00A53ABD"/>
    <w:rsid w:val="00A547AF"/>
    <w:rsid w:val="00A54BB4"/>
    <w:rsid w:val="00A5517D"/>
    <w:rsid w:val="00A55338"/>
    <w:rsid w:val="00A55649"/>
    <w:rsid w:val="00A55C1F"/>
    <w:rsid w:val="00A562FB"/>
    <w:rsid w:val="00A56446"/>
    <w:rsid w:val="00A56D7F"/>
    <w:rsid w:val="00A6046E"/>
    <w:rsid w:val="00A60567"/>
    <w:rsid w:val="00A60735"/>
    <w:rsid w:val="00A60C97"/>
    <w:rsid w:val="00A60EC1"/>
    <w:rsid w:val="00A6122C"/>
    <w:rsid w:val="00A61363"/>
    <w:rsid w:val="00A616A8"/>
    <w:rsid w:val="00A619D9"/>
    <w:rsid w:val="00A63F63"/>
    <w:rsid w:val="00A64B2B"/>
    <w:rsid w:val="00A64F89"/>
    <w:rsid w:val="00A65739"/>
    <w:rsid w:val="00A660A7"/>
    <w:rsid w:val="00A66B93"/>
    <w:rsid w:val="00A66C8E"/>
    <w:rsid w:val="00A67B9C"/>
    <w:rsid w:val="00A67BF8"/>
    <w:rsid w:val="00A67EBD"/>
    <w:rsid w:val="00A70850"/>
    <w:rsid w:val="00A712E6"/>
    <w:rsid w:val="00A71857"/>
    <w:rsid w:val="00A71AD1"/>
    <w:rsid w:val="00A72239"/>
    <w:rsid w:val="00A725AA"/>
    <w:rsid w:val="00A72A34"/>
    <w:rsid w:val="00A72B75"/>
    <w:rsid w:val="00A730AA"/>
    <w:rsid w:val="00A73D46"/>
    <w:rsid w:val="00A742F6"/>
    <w:rsid w:val="00A7464A"/>
    <w:rsid w:val="00A74BB0"/>
    <w:rsid w:val="00A75CA4"/>
    <w:rsid w:val="00A75D29"/>
    <w:rsid w:val="00A75D3A"/>
    <w:rsid w:val="00A75D62"/>
    <w:rsid w:val="00A76B74"/>
    <w:rsid w:val="00A77268"/>
    <w:rsid w:val="00A77C16"/>
    <w:rsid w:val="00A801FD"/>
    <w:rsid w:val="00A815FD"/>
    <w:rsid w:val="00A8217F"/>
    <w:rsid w:val="00A82714"/>
    <w:rsid w:val="00A82943"/>
    <w:rsid w:val="00A82C55"/>
    <w:rsid w:val="00A82DCE"/>
    <w:rsid w:val="00A832BF"/>
    <w:rsid w:val="00A835E4"/>
    <w:rsid w:val="00A83A6F"/>
    <w:rsid w:val="00A83C99"/>
    <w:rsid w:val="00A83D6F"/>
    <w:rsid w:val="00A83EAD"/>
    <w:rsid w:val="00A84065"/>
    <w:rsid w:val="00A840DF"/>
    <w:rsid w:val="00A84203"/>
    <w:rsid w:val="00A84355"/>
    <w:rsid w:val="00A84D0D"/>
    <w:rsid w:val="00A85E87"/>
    <w:rsid w:val="00A85F76"/>
    <w:rsid w:val="00A85F9B"/>
    <w:rsid w:val="00A86563"/>
    <w:rsid w:val="00A86F10"/>
    <w:rsid w:val="00A87C77"/>
    <w:rsid w:val="00A87DDD"/>
    <w:rsid w:val="00A87FA9"/>
    <w:rsid w:val="00A9006B"/>
    <w:rsid w:val="00A9048A"/>
    <w:rsid w:val="00A90BBE"/>
    <w:rsid w:val="00A913B2"/>
    <w:rsid w:val="00A913DB"/>
    <w:rsid w:val="00A92A1E"/>
    <w:rsid w:val="00A92D50"/>
    <w:rsid w:val="00A9302F"/>
    <w:rsid w:val="00A932EA"/>
    <w:rsid w:val="00A934CA"/>
    <w:rsid w:val="00A9356F"/>
    <w:rsid w:val="00A93975"/>
    <w:rsid w:val="00A939D2"/>
    <w:rsid w:val="00A93B88"/>
    <w:rsid w:val="00A94543"/>
    <w:rsid w:val="00A94DB6"/>
    <w:rsid w:val="00A96ADA"/>
    <w:rsid w:val="00A97243"/>
    <w:rsid w:val="00A97BA3"/>
    <w:rsid w:val="00A97F51"/>
    <w:rsid w:val="00AA0366"/>
    <w:rsid w:val="00AA266A"/>
    <w:rsid w:val="00AA277D"/>
    <w:rsid w:val="00AA285B"/>
    <w:rsid w:val="00AA30DD"/>
    <w:rsid w:val="00AA3103"/>
    <w:rsid w:val="00AA3440"/>
    <w:rsid w:val="00AA4BFF"/>
    <w:rsid w:val="00AA55A8"/>
    <w:rsid w:val="00AA64B0"/>
    <w:rsid w:val="00AA7043"/>
    <w:rsid w:val="00AA7516"/>
    <w:rsid w:val="00AB0383"/>
    <w:rsid w:val="00AB0461"/>
    <w:rsid w:val="00AB054B"/>
    <w:rsid w:val="00AB057A"/>
    <w:rsid w:val="00AB0684"/>
    <w:rsid w:val="00AB150E"/>
    <w:rsid w:val="00AB15C1"/>
    <w:rsid w:val="00AB20B9"/>
    <w:rsid w:val="00AB2DA3"/>
    <w:rsid w:val="00AB31F8"/>
    <w:rsid w:val="00AB39DC"/>
    <w:rsid w:val="00AB3A9B"/>
    <w:rsid w:val="00AB3CDE"/>
    <w:rsid w:val="00AB56FB"/>
    <w:rsid w:val="00AB6D20"/>
    <w:rsid w:val="00AB6FDA"/>
    <w:rsid w:val="00AB721B"/>
    <w:rsid w:val="00AB7312"/>
    <w:rsid w:val="00AB76EB"/>
    <w:rsid w:val="00AB7B3C"/>
    <w:rsid w:val="00AB7E39"/>
    <w:rsid w:val="00AC0069"/>
    <w:rsid w:val="00AC187C"/>
    <w:rsid w:val="00AC1DCC"/>
    <w:rsid w:val="00AC2906"/>
    <w:rsid w:val="00AC4390"/>
    <w:rsid w:val="00AC4A06"/>
    <w:rsid w:val="00AC4B23"/>
    <w:rsid w:val="00AC5583"/>
    <w:rsid w:val="00AC6009"/>
    <w:rsid w:val="00AC63C0"/>
    <w:rsid w:val="00AC732A"/>
    <w:rsid w:val="00AC7FA7"/>
    <w:rsid w:val="00AD02E2"/>
    <w:rsid w:val="00AD0B56"/>
    <w:rsid w:val="00AD0BC0"/>
    <w:rsid w:val="00AD0F05"/>
    <w:rsid w:val="00AD2A1D"/>
    <w:rsid w:val="00AD3122"/>
    <w:rsid w:val="00AD3790"/>
    <w:rsid w:val="00AD3F81"/>
    <w:rsid w:val="00AD447C"/>
    <w:rsid w:val="00AD4E61"/>
    <w:rsid w:val="00AD5BF8"/>
    <w:rsid w:val="00AD642F"/>
    <w:rsid w:val="00AD76F8"/>
    <w:rsid w:val="00AD7EA8"/>
    <w:rsid w:val="00AE05D2"/>
    <w:rsid w:val="00AE1F6E"/>
    <w:rsid w:val="00AE31E7"/>
    <w:rsid w:val="00AE3237"/>
    <w:rsid w:val="00AE34E4"/>
    <w:rsid w:val="00AE46E1"/>
    <w:rsid w:val="00AE474B"/>
    <w:rsid w:val="00AE49DD"/>
    <w:rsid w:val="00AE4BC4"/>
    <w:rsid w:val="00AE5331"/>
    <w:rsid w:val="00AE5811"/>
    <w:rsid w:val="00AE5DB8"/>
    <w:rsid w:val="00AE65EA"/>
    <w:rsid w:val="00AE6B58"/>
    <w:rsid w:val="00AE7CD8"/>
    <w:rsid w:val="00AF1474"/>
    <w:rsid w:val="00AF2C9E"/>
    <w:rsid w:val="00AF3037"/>
    <w:rsid w:val="00AF3718"/>
    <w:rsid w:val="00AF59E8"/>
    <w:rsid w:val="00AF5C63"/>
    <w:rsid w:val="00AF5CF9"/>
    <w:rsid w:val="00AF5FF1"/>
    <w:rsid w:val="00AF6828"/>
    <w:rsid w:val="00AF6C7F"/>
    <w:rsid w:val="00AF759F"/>
    <w:rsid w:val="00AF7A9C"/>
    <w:rsid w:val="00B00880"/>
    <w:rsid w:val="00B01FEE"/>
    <w:rsid w:val="00B031E3"/>
    <w:rsid w:val="00B04672"/>
    <w:rsid w:val="00B047FE"/>
    <w:rsid w:val="00B04C60"/>
    <w:rsid w:val="00B05223"/>
    <w:rsid w:val="00B05503"/>
    <w:rsid w:val="00B0591A"/>
    <w:rsid w:val="00B05E0C"/>
    <w:rsid w:val="00B06498"/>
    <w:rsid w:val="00B0662C"/>
    <w:rsid w:val="00B06881"/>
    <w:rsid w:val="00B06D1A"/>
    <w:rsid w:val="00B10FE2"/>
    <w:rsid w:val="00B11139"/>
    <w:rsid w:val="00B117F8"/>
    <w:rsid w:val="00B11886"/>
    <w:rsid w:val="00B119D8"/>
    <w:rsid w:val="00B11A81"/>
    <w:rsid w:val="00B11E8E"/>
    <w:rsid w:val="00B14A23"/>
    <w:rsid w:val="00B14A7B"/>
    <w:rsid w:val="00B153B4"/>
    <w:rsid w:val="00B15DDD"/>
    <w:rsid w:val="00B163C1"/>
    <w:rsid w:val="00B16FF3"/>
    <w:rsid w:val="00B17493"/>
    <w:rsid w:val="00B1778F"/>
    <w:rsid w:val="00B20DED"/>
    <w:rsid w:val="00B20E10"/>
    <w:rsid w:val="00B21108"/>
    <w:rsid w:val="00B21693"/>
    <w:rsid w:val="00B21A13"/>
    <w:rsid w:val="00B21A7E"/>
    <w:rsid w:val="00B21C7F"/>
    <w:rsid w:val="00B226DE"/>
    <w:rsid w:val="00B22955"/>
    <w:rsid w:val="00B229B9"/>
    <w:rsid w:val="00B2365C"/>
    <w:rsid w:val="00B23A76"/>
    <w:rsid w:val="00B23BD5"/>
    <w:rsid w:val="00B23DF7"/>
    <w:rsid w:val="00B2413D"/>
    <w:rsid w:val="00B247EB"/>
    <w:rsid w:val="00B25370"/>
    <w:rsid w:val="00B25FCF"/>
    <w:rsid w:val="00B26610"/>
    <w:rsid w:val="00B2695B"/>
    <w:rsid w:val="00B26AD2"/>
    <w:rsid w:val="00B307D6"/>
    <w:rsid w:val="00B31083"/>
    <w:rsid w:val="00B31177"/>
    <w:rsid w:val="00B32AE8"/>
    <w:rsid w:val="00B3300D"/>
    <w:rsid w:val="00B33848"/>
    <w:rsid w:val="00B33E8D"/>
    <w:rsid w:val="00B342C9"/>
    <w:rsid w:val="00B34BE8"/>
    <w:rsid w:val="00B364C5"/>
    <w:rsid w:val="00B36E5D"/>
    <w:rsid w:val="00B37362"/>
    <w:rsid w:val="00B374E4"/>
    <w:rsid w:val="00B40E62"/>
    <w:rsid w:val="00B41C46"/>
    <w:rsid w:val="00B42DE8"/>
    <w:rsid w:val="00B42FC1"/>
    <w:rsid w:val="00B433DA"/>
    <w:rsid w:val="00B4342D"/>
    <w:rsid w:val="00B4371C"/>
    <w:rsid w:val="00B4399E"/>
    <w:rsid w:val="00B43E5E"/>
    <w:rsid w:val="00B440DD"/>
    <w:rsid w:val="00B45275"/>
    <w:rsid w:val="00B456E5"/>
    <w:rsid w:val="00B46A0C"/>
    <w:rsid w:val="00B470E0"/>
    <w:rsid w:val="00B478F4"/>
    <w:rsid w:val="00B47972"/>
    <w:rsid w:val="00B507BE"/>
    <w:rsid w:val="00B50911"/>
    <w:rsid w:val="00B50A68"/>
    <w:rsid w:val="00B50F28"/>
    <w:rsid w:val="00B5109A"/>
    <w:rsid w:val="00B51E74"/>
    <w:rsid w:val="00B52DC4"/>
    <w:rsid w:val="00B531BC"/>
    <w:rsid w:val="00B537F6"/>
    <w:rsid w:val="00B54381"/>
    <w:rsid w:val="00B54B0D"/>
    <w:rsid w:val="00B54D77"/>
    <w:rsid w:val="00B550F5"/>
    <w:rsid w:val="00B55327"/>
    <w:rsid w:val="00B5648D"/>
    <w:rsid w:val="00B605B7"/>
    <w:rsid w:val="00B61EFE"/>
    <w:rsid w:val="00B62646"/>
    <w:rsid w:val="00B64EDC"/>
    <w:rsid w:val="00B656AE"/>
    <w:rsid w:val="00B6570E"/>
    <w:rsid w:val="00B65A95"/>
    <w:rsid w:val="00B66142"/>
    <w:rsid w:val="00B66391"/>
    <w:rsid w:val="00B668E1"/>
    <w:rsid w:val="00B66FDF"/>
    <w:rsid w:val="00B67471"/>
    <w:rsid w:val="00B6782E"/>
    <w:rsid w:val="00B67860"/>
    <w:rsid w:val="00B70F60"/>
    <w:rsid w:val="00B72249"/>
    <w:rsid w:val="00B72B85"/>
    <w:rsid w:val="00B72E2D"/>
    <w:rsid w:val="00B730A6"/>
    <w:rsid w:val="00B7312A"/>
    <w:rsid w:val="00B7566E"/>
    <w:rsid w:val="00B757AB"/>
    <w:rsid w:val="00B7625B"/>
    <w:rsid w:val="00B7773C"/>
    <w:rsid w:val="00B77DE2"/>
    <w:rsid w:val="00B80A29"/>
    <w:rsid w:val="00B819C8"/>
    <w:rsid w:val="00B81D74"/>
    <w:rsid w:val="00B826CC"/>
    <w:rsid w:val="00B83E5A"/>
    <w:rsid w:val="00B848C5"/>
    <w:rsid w:val="00B852D4"/>
    <w:rsid w:val="00B8553E"/>
    <w:rsid w:val="00B859A8"/>
    <w:rsid w:val="00B85C0F"/>
    <w:rsid w:val="00B866E1"/>
    <w:rsid w:val="00B90176"/>
    <w:rsid w:val="00B9246D"/>
    <w:rsid w:val="00B9263E"/>
    <w:rsid w:val="00B92722"/>
    <w:rsid w:val="00B92D5D"/>
    <w:rsid w:val="00B935CC"/>
    <w:rsid w:val="00B9454C"/>
    <w:rsid w:val="00B94B95"/>
    <w:rsid w:val="00B94FFA"/>
    <w:rsid w:val="00B951FA"/>
    <w:rsid w:val="00B962DE"/>
    <w:rsid w:val="00B964D2"/>
    <w:rsid w:val="00B96EE9"/>
    <w:rsid w:val="00B96FAA"/>
    <w:rsid w:val="00B978D6"/>
    <w:rsid w:val="00B97C4A"/>
    <w:rsid w:val="00BA1436"/>
    <w:rsid w:val="00BA243C"/>
    <w:rsid w:val="00BA2822"/>
    <w:rsid w:val="00BA2C19"/>
    <w:rsid w:val="00BA3BEF"/>
    <w:rsid w:val="00BA4168"/>
    <w:rsid w:val="00BA5714"/>
    <w:rsid w:val="00BA5D46"/>
    <w:rsid w:val="00BA711F"/>
    <w:rsid w:val="00BA7B2F"/>
    <w:rsid w:val="00BB0E01"/>
    <w:rsid w:val="00BB1010"/>
    <w:rsid w:val="00BB1199"/>
    <w:rsid w:val="00BB1A22"/>
    <w:rsid w:val="00BB2024"/>
    <w:rsid w:val="00BB233D"/>
    <w:rsid w:val="00BB32CA"/>
    <w:rsid w:val="00BB3ECF"/>
    <w:rsid w:val="00BB48D3"/>
    <w:rsid w:val="00BB4E97"/>
    <w:rsid w:val="00BB5F59"/>
    <w:rsid w:val="00BB6521"/>
    <w:rsid w:val="00BB68A2"/>
    <w:rsid w:val="00BB6BBE"/>
    <w:rsid w:val="00BB6FD2"/>
    <w:rsid w:val="00BB7564"/>
    <w:rsid w:val="00BC03B3"/>
    <w:rsid w:val="00BC0782"/>
    <w:rsid w:val="00BC0BE1"/>
    <w:rsid w:val="00BC26E8"/>
    <w:rsid w:val="00BC414C"/>
    <w:rsid w:val="00BC46FD"/>
    <w:rsid w:val="00BC4B45"/>
    <w:rsid w:val="00BC4E31"/>
    <w:rsid w:val="00BC54EB"/>
    <w:rsid w:val="00BC5891"/>
    <w:rsid w:val="00BC5BB5"/>
    <w:rsid w:val="00BC700A"/>
    <w:rsid w:val="00BC706B"/>
    <w:rsid w:val="00BC7256"/>
    <w:rsid w:val="00BD16B7"/>
    <w:rsid w:val="00BD1DFD"/>
    <w:rsid w:val="00BD2B1A"/>
    <w:rsid w:val="00BD3069"/>
    <w:rsid w:val="00BD30CA"/>
    <w:rsid w:val="00BD3792"/>
    <w:rsid w:val="00BD567B"/>
    <w:rsid w:val="00BD596A"/>
    <w:rsid w:val="00BD5BDD"/>
    <w:rsid w:val="00BD61F5"/>
    <w:rsid w:val="00BD69AB"/>
    <w:rsid w:val="00BD6BEB"/>
    <w:rsid w:val="00BE0594"/>
    <w:rsid w:val="00BE2062"/>
    <w:rsid w:val="00BE271B"/>
    <w:rsid w:val="00BE3C08"/>
    <w:rsid w:val="00BE5FD5"/>
    <w:rsid w:val="00BE64E8"/>
    <w:rsid w:val="00BE71A3"/>
    <w:rsid w:val="00BE7276"/>
    <w:rsid w:val="00BE75BA"/>
    <w:rsid w:val="00BF0AEF"/>
    <w:rsid w:val="00BF1441"/>
    <w:rsid w:val="00BF1647"/>
    <w:rsid w:val="00BF1C40"/>
    <w:rsid w:val="00BF1DE2"/>
    <w:rsid w:val="00BF1FB1"/>
    <w:rsid w:val="00BF22CC"/>
    <w:rsid w:val="00BF2706"/>
    <w:rsid w:val="00BF287B"/>
    <w:rsid w:val="00BF2F73"/>
    <w:rsid w:val="00BF3012"/>
    <w:rsid w:val="00BF356D"/>
    <w:rsid w:val="00BF3CE2"/>
    <w:rsid w:val="00BF4A28"/>
    <w:rsid w:val="00BF54D6"/>
    <w:rsid w:val="00BF5E34"/>
    <w:rsid w:val="00BF5F53"/>
    <w:rsid w:val="00BF60CE"/>
    <w:rsid w:val="00BF6403"/>
    <w:rsid w:val="00BF694D"/>
    <w:rsid w:val="00BF6C92"/>
    <w:rsid w:val="00BF6CE6"/>
    <w:rsid w:val="00BF7AB4"/>
    <w:rsid w:val="00C00984"/>
    <w:rsid w:val="00C00A2D"/>
    <w:rsid w:val="00C00EFC"/>
    <w:rsid w:val="00C015E3"/>
    <w:rsid w:val="00C02DD8"/>
    <w:rsid w:val="00C03174"/>
    <w:rsid w:val="00C03504"/>
    <w:rsid w:val="00C0368F"/>
    <w:rsid w:val="00C03B0E"/>
    <w:rsid w:val="00C041E2"/>
    <w:rsid w:val="00C060BB"/>
    <w:rsid w:val="00C0735A"/>
    <w:rsid w:val="00C10118"/>
    <w:rsid w:val="00C104C0"/>
    <w:rsid w:val="00C11108"/>
    <w:rsid w:val="00C1166C"/>
    <w:rsid w:val="00C119CB"/>
    <w:rsid w:val="00C11F3F"/>
    <w:rsid w:val="00C11FD2"/>
    <w:rsid w:val="00C12A04"/>
    <w:rsid w:val="00C12A80"/>
    <w:rsid w:val="00C135A9"/>
    <w:rsid w:val="00C13B4D"/>
    <w:rsid w:val="00C13C97"/>
    <w:rsid w:val="00C141E0"/>
    <w:rsid w:val="00C14457"/>
    <w:rsid w:val="00C146B1"/>
    <w:rsid w:val="00C15440"/>
    <w:rsid w:val="00C1595B"/>
    <w:rsid w:val="00C15C1B"/>
    <w:rsid w:val="00C16A73"/>
    <w:rsid w:val="00C1709B"/>
    <w:rsid w:val="00C206B3"/>
    <w:rsid w:val="00C21DE0"/>
    <w:rsid w:val="00C22227"/>
    <w:rsid w:val="00C2256F"/>
    <w:rsid w:val="00C226ED"/>
    <w:rsid w:val="00C23D19"/>
    <w:rsid w:val="00C24163"/>
    <w:rsid w:val="00C24796"/>
    <w:rsid w:val="00C249DE"/>
    <w:rsid w:val="00C25044"/>
    <w:rsid w:val="00C25917"/>
    <w:rsid w:val="00C26106"/>
    <w:rsid w:val="00C31519"/>
    <w:rsid w:val="00C322FF"/>
    <w:rsid w:val="00C32486"/>
    <w:rsid w:val="00C3291D"/>
    <w:rsid w:val="00C32FA2"/>
    <w:rsid w:val="00C33206"/>
    <w:rsid w:val="00C3325B"/>
    <w:rsid w:val="00C33D13"/>
    <w:rsid w:val="00C33FA5"/>
    <w:rsid w:val="00C351E1"/>
    <w:rsid w:val="00C357F8"/>
    <w:rsid w:val="00C35CA0"/>
    <w:rsid w:val="00C35E73"/>
    <w:rsid w:val="00C364C4"/>
    <w:rsid w:val="00C3663A"/>
    <w:rsid w:val="00C37C7F"/>
    <w:rsid w:val="00C407D4"/>
    <w:rsid w:val="00C409AB"/>
    <w:rsid w:val="00C4160F"/>
    <w:rsid w:val="00C419F7"/>
    <w:rsid w:val="00C421D9"/>
    <w:rsid w:val="00C429B5"/>
    <w:rsid w:val="00C42A83"/>
    <w:rsid w:val="00C4310D"/>
    <w:rsid w:val="00C4477B"/>
    <w:rsid w:val="00C4596D"/>
    <w:rsid w:val="00C4633D"/>
    <w:rsid w:val="00C4637A"/>
    <w:rsid w:val="00C46A5E"/>
    <w:rsid w:val="00C46E1F"/>
    <w:rsid w:val="00C50B10"/>
    <w:rsid w:val="00C50B5B"/>
    <w:rsid w:val="00C51636"/>
    <w:rsid w:val="00C51EDD"/>
    <w:rsid w:val="00C520E8"/>
    <w:rsid w:val="00C527C1"/>
    <w:rsid w:val="00C540F3"/>
    <w:rsid w:val="00C54EF2"/>
    <w:rsid w:val="00C559C2"/>
    <w:rsid w:val="00C5648C"/>
    <w:rsid w:val="00C567EF"/>
    <w:rsid w:val="00C5687F"/>
    <w:rsid w:val="00C5715A"/>
    <w:rsid w:val="00C57532"/>
    <w:rsid w:val="00C57FF4"/>
    <w:rsid w:val="00C60CA4"/>
    <w:rsid w:val="00C611AE"/>
    <w:rsid w:val="00C6182F"/>
    <w:rsid w:val="00C618A9"/>
    <w:rsid w:val="00C624F7"/>
    <w:rsid w:val="00C62C0F"/>
    <w:rsid w:val="00C6408A"/>
    <w:rsid w:val="00C64548"/>
    <w:rsid w:val="00C6519F"/>
    <w:rsid w:val="00C654B5"/>
    <w:rsid w:val="00C65649"/>
    <w:rsid w:val="00C662EC"/>
    <w:rsid w:val="00C66A62"/>
    <w:rsid w:val="00C70693"/>
    <w:rsid w:val="00C709C4"/>
    <w:rsid w:val="00C70FC9"/>
    <w:rsid w:val="00C71A46"/>
    <w:rsid w:val="00C7334B"/>
    <w:rsid w:val="00C734C7"/>
    <w:rsid w:val="00C7500B"/>
    <w:rsid w:val="00C76966"/>
    <w:rsid w:val="00C8209B"/>
    <w:rsid w:val="00C82DBA"/>
    <w:rsid w:val="00C83521"/>
    <w:rsid w:val="00C83A74"/>
    <w:rsid w:val="00C842D9"/>
    <w:rsid w:val="00C843DC"/>
    <w:rsid w:val="00C847DA"/>
    <w:rsid w:val="00C84841"/>
    <w:rsid w:val="00C8528C"/>
    <w:rsid w:val="00C853E2"/>
    <w:rsid w:val="00C855BC"/>
    <w:rsid w:val="00C85764"/>
    <w:rsid w:val="00C86296"/>
    <w:rsid w:val="00C86741"/>
    <w:rsid w:val="00C86DD9"/>
    <w:rsid w:val="00C87A6F"/>
    <w:rsid w:val="00C87C5F"/>
    <w:rsid w:val="00C905BB"/>
    <w:rsid w:val="00C90C69"/>
    <w:rsid w:val="00C90F5C"/>
    <w:rsid w:val="00C929DE"/>
    <w:rsid w:val="00C92DCD"/>
    <w:rsid w:val="00C9322F"/>
    <w:rsid w:val="00C9457F"/>
    <w:rsid w:val="00C94D1C"/>
    <w:rsid w:val="00C957A3"/>
    <w:rsid w:val="00C957F3"/>
    <w:rsid w:val="00C964DF"/>
    <w:rsid w:val="00C964F8"/>
    <w:rsid w:val="00C97388"/>
    <w:rsid w:val="00CA0515"/>
    <w:rsid w:val="00CA0AD9"/>
    <w:rsid w:val="00CA1320"/>
    <w:rsid w:val="00CA1A9F"/>
    <w:rsid w:val="00CA238E"/>
    <w:rsid w:val="00CA294C"/>
    <w:rsid w:val="00CA29D0"/>
    <w:rsid w:val="00CA2F0E"/>
    <w:rsid w:val="00CA3597"/>
    <w:rsid w:val="00CA3D9D"/>
    <w:rsid w:val="00CA4225"/>
    <w:rsid w:val="00CA4553"/>
    <w:rsid w:val="00CA4A79"/>
    <w:rsid w:val="00CA6185"/>
    <w:rsid w:val="00CA64F7"/>
    <w:rsid w:val="00CA660E"/>
    <w:rsid w:val="00CA67EA"/>
    <w:rsid w:val="00CA692A"/>
    <w:rsid w:val="00CA6B3D"/>
    <w:rsid w:val="00CA6F84"/>
    <w:rsid w:val="00CA7987"/>
    <w:rsid w:val="00CB00D2"/>
    <w:rsid w:val="00CB01D6"/>
    <w:rsid w:val="00CB05C4"/>
    <w:rsid w:val="00CB13F0"/>
    <w:rsid w:val="00CB150E"/>
    <w:rsid w:val="00CB166E"/>
    <w:rsid w:val="00CB1F9A"/>
    <w:rsid w:val="00CB20C4"/>
    <w:rsid w:val="00CB21AE"/>
    <w:rsid w:val="00CB2360"/>
    <w:rsid w:val="00CB36A0"/>
    <w:rsid w:val="00CB3963"/>
    <w:rsid w:val="00CB3C3C"/>
    <w:rsid w:val="00CB4026"/>
    <w:rsid w:val="00CB403C"/>
    <w:rsid w:val="00CB4DE2"/>
    <w:rsid w:val="00CB5F63"/>
    <w:rsid w:val="00CB683E"/>
    <w:rsid w:val="00CB7056"/>
    <w:rsid w:val="00CB79FE"/>
    <w:rsid w:val="00CB7BB7"/>
    <w:rsid w:val="00CC0711"/>
    <w:rsid w:val="00CC0735"/>
    <w:rsid w:val="00CC1089"/>
    <w:rsid w:val="00CC1559"/>
    <w:rsid w:val="00CC1605"/>
    <w:rsid w:val="00CC1FB4"/>
    <w:rsid w:val="00CC4802"/>
    <w:rsid w:val="00CC5608"/>
    <w:rsid w:val="00CC562D"/>
    <w:rsid w:val="00CC59EA"/>
    <w:rsid w:val="00CC5CD3"/>
    <w:rsid w:val="00CC6987"/>
    <w:rsid w:val="00CC753D"/>
    <w:rsid w:val="00CC79B5"/>
    <w:rsid w:val="00CC7AF4"/>
    <w:rsid w:val="00CC7DB6"/>
    <w:rsid w:val="00CD1566"/>
    <w:rsid w:val="00CD2063"/>
    <w:rsid w:val="00CD2B48"/>
    <w:rsid w:val="00CD2C7C"/>
    <w:rsid w:val="00CD2FEE"/>
    <w:rsid w:val="00CD3A86"/>
    <w:rsid w:val="00CD43C8"/>
    <w:rsid w:val="00CD5398"/>
    <w:rsid w:val="00CD663F"/>
    <w:rsid w:val="00CD688F"/>
    <w:rsid w:val="00CD6DE5"/>
    <w:rsid w:val="00CD736B"/>
    <w:rsid w:val="00CD73C6"/>
    <w:rsid w:val="00CD7EEB"/>
    <w:rsid w:val="00CD7F66"/>
    <w:rsid w:val="00CE1477"/>
    <w:rsid w:val="00CE1974"/>
    <w:rsid w:val="00CE2C91"/>
    <w:rsid w:val="00CE37B9"/>
    <w:rsid w:val="00CE444D"/>
    <w:rsid w:val="00CE5869"/>
    <w:rsid w:val="00CE74EE"/>
    <w:rsid w:val="00CE76F5"/>
    <w:rsid w:val="00CE7C21"/>
    <w:rsid w:val="00CF0748"/>
    <w:rsid w:val="00CF07F1"/>
    <w:rsid w:val="00CF0C1A"/>
    <w:rsid w:val="00CF0F1F"/>
    <w:rsid w:val="00CF12A3"/>
    <w:rsid w:val="00CF14D4"/>
    <w:rsid w:val="00CF1968"/>
    <w:rsid w:val="00CF20A2"/>
    <w:rsid w:val="00CF2A5D"/>
    <w:rsid w:val="00CF338F"/>
    <w:rsid w:val="00CF36D1"/>
    <w:rsid w:val="00CF4276"/>
    <w:rsid w:val="00CF59DC"/>
    <w:rsid w:val="00CF5EDF"/>
    <w:rsid w:val="00CF603D"/>
    <w:rsid w:val="00CF6172"/>
    <w:rsid w:val="00CF74D3"/>
    <w:rsid w:val="00CF75B2"/>
    <w:rsid w:val="00CF78EC"/>
    <w:rsid w:val="00CF7CBD"/>
    <w:rsid w:val="00CF7CE9"/>
    <w:rsid w:val="00D0179C"/>
    <w:rsid w:val="00D01CD7"/>
    <w:rsid w:val="00D023F9"/>
    <w:rsid w:val="00D03618"/>
    <w:rsid w:val="00D0429C"/>
    <w:rsid w:val="00D04988"/>
    <w:rsid w:val="00D04F9C"/>
    <w:rsid w:val="00D05D71"/>
    <w:rsid w:val="00D05E82"/>
    <w:rsid w:val="00D06A85"/>
    <w:rsid w:val="00D06CC1"/>
    <w:rsid w:val="00D07118"/>
    <w:rsid w:val="00D07D91"/>
    <w:rsid w:val="00D1019A"/>
    <w:rsid w:val="00D10B4F"/>
    <w:rsid w:val="00D10B8D"/>
    <w:rsid w:val="00D11A41"/>
    <w:rsid w:val="00D123EC"/>
    <w:rsid w:val="00D145E6"/>
    <w:rsid w:val="00D14F7F"/>
    <w:rsid w:val="00D1529D"/>
    <w:rsid w:val="00D158E6"/>
    <w:rsid w:val="00D21426"/>
    <w:rsid w:val="00D21B67"/>
    <w:rsid w:val="00D22660"/>
    <w:rsid w:val="00D22781"/>
    <w:rsid w:val="00D22A98"/>
    <w:rsid w:val="00D239D2"/>
    <w:rsid w:val="00D246DD"/>
    <w:rsid w:val="00D2498D"/>
    <w:rsid w:val="00D24C18"/>
    <w:rsid w:val="00D24DAE"/>
    <w:rsid w:val="00D25C96"/>
    <w:rsid w:val="00D26196"/>
    <w:rsid w:val="00D2672D"/>
    <w:rsid w:val="00D27378"/>
    <w:rsid w:val="00D27CCC"/>
    <w:rsid w:val="00D30456"/>
    <w:rsid w:val="00D308BF"/>
    <w:rsid w:val="00D30AFD"/>
    <w:rsid w:val="00D31BB2"/>
    <w:rsid w:val="00D31BB7"/>
    <w:rsid w:val="00D323E8"/>
    <w:rsid w:val="00D3282B"/>
    <w:rsid w:val="00D33660"/>
    <w:rsid w:val="00D344B9"/>
    <w:rsid w:val="00D345A3"/>
    <w:rsid w:val="00D353EE"/>
    <w:rsid w:val="00D35438"/>
    <w:rsid w:val="00D354D9"/>
    <w:rsid w:val="00D36393"/>
    <w:rsid w:val="00D36527"/>
    <w:rsid w:val="00D36AE6"/>
    <w:rsid w:val="00D376F4"/>
    <w:rsid w:val="00D37EE2"/>
    <w:rsid w:val="00D409B5"/>
    <w:rsid w:val="00D40FBD"/>
    <w:rsid w:val="00D41216"/>
    <w:rsid w:val="00D41DF4"/>
    <w:rsid w:val="00D429AA"/>
    <w:rsid w:val="00D4339B"/>
    <w:rsid w:val="00D43C28"/>
    <w:rsid w:val="00D43F37"/>
    <w:rsid w:val="00D443A3"/>
    <w:rsid w:val="00D45CCB"/>
    <w:rsid w:val="00D46AC9"/>
    <w:rsid w:val="00D50FA9"/>
    <w:rsid w:val="00D52719"/>
    <w:rsid w:val="00D5334B"/>
    <w:rsid w:val="00D5371E"/>
    <w:rsid w:val="00D53A64"/>
    <w:rsid w:val="00D53BDE"/>
    <w:rsid w:val="00D5401C"/>
    <w:rsid w:val="00D5473F"/>
    <w:rsid w:val="00D547DC"/>
    <w:rsid w:val="00D548FF"/>
    <w:rsid w:val="00D5520F"/>
    <w:rsid w:val="00D559B9"/>
    <w:rsid w:val="00D562BD"/>
    <w:rsid w:val="00D61C2B"/>
    <w:rsid w:val="00D625BF"/>
    <w:rsid w:val="00D6266F"/>
    <w:rsid w:val="00D62984"/>
    <w:rsid w:val="00D63D01"/>
    <w:rsid w:val="00D63FC4"/>
    <w:rsid w:val="00D64416"/>
    <w:rsid w:val="00D64EF4"/>
    <w:rsid w:val="00D653D9"/>
    <w:rsid w:val="00D657B7"/>
    <w:rsid w:val="00D65EFA"/>
    <w:rsid w:val="00D660E5"/>
    <w:rsid w:val="00D66BE6"/>
    <w:rsid w:val="00D67146"/>
    <w:rsid w:val="00D70430"/>
    <w:rsid w:val="00D71756"/>
    <w:rsid w:val="00D72269"/>
    <w:rsid w:val="00D72FB1"/>
    <w:rsid w:val="00D741AA"/>
    <w:rsid w:val="00D748E5"/>
    <w:rsid w:val="00D74997"/>
    <w:rsid w:val="00D75B44"/>
    <w:rsid w:val="00D761AF"/>
    <w:rsid w:val="00D7654B"/>
    <w:rsid w:val="00D769CA"/>
    <w:rsid w:val="00D76ACF"/>
    <w:rsid w:val="00D7704C"/>
    <w:rsid w:val="00D806A2"/>
    <w:rsid w:val="00D80CF7"/>
    <w:rsid w:val="00D82A6E"/>
    <w:rsid w:val="00D84A63"/>
    <w:rsid w:val="00D85230"/>
    <w:rsid w:val="00D865D5"/>
    <w:rsid w:val="00D86C11"/>
    <w:rsid w:val="00D872E6"/>
    <w:rsid w:val="00D87615"/>
    <w:rsid w:val="00D87D39"/>
    <w:rsid w:val="00D87F20"/>
    <w:rsid w:val="00D9059C"/>
    <w:rsid w:val="00D90B94"/>
    <w:rsid w:val="00D91704"/>
    <w:rsid w:val="00D91D34"/>
    <w:rsid w:val="00D93534"/>
    <w:rsid w:val="00D936BA"/>
    <w:rsid w:val="00D93BAD"/>
    <w:rsid w:val="00D94C65"/>
    <w:rsid w:val="00D95B40"/>
    <w:rsid w:val="00D96263"/>
    <w:rsid w:val="00D96266"/>
    <w:rsid w:val="00D9670F"/>
    <w:rsid w:val="00D96734"/>
    <w:rsid w:val="00D96D76"/>
    <w:rsid w:val="00DA003C"/>
    <w:rsid w:val="00DA0257"/>
    <w:rsid w:val="00DA1F4F"/>
    <w:rsid w:val="00DA3595"/>
    <w:rsid w:val="00DA3A54"/>
    <w:rsid w:val="00DA3F22"/>
    <w:rsid w:val="00DA4A34"/>
    <w:rsid w:val="00DA50DB"/>
    <w:rsid w:val="00DA51C9"/>
    <w:rsid w:val="00DA69CF"/>
    <w:rsid w:val="00DA764F"/>
    <w:rsid w:val="00DA7665"/>
    <w:rsid w:val="00DA7B43"/>
    <w:rsid w:val="00DB0D50"/>
    <w:rsid w:val="00DB0E44"/>
    <w:rsid w:val="00DB0F2A"/>
    <w:rsid w:val="00DB0FC5"/>
    <w:rsid w:val="00DB1096"/>
    <w:rsid w:val="00DB1E3F"/>
    <w:rsid w:val="00DB2343"/>
    <w:rsid w:val="00DB3243"/>
    <w:rsid w:val="00DB4BB8"/>
    <w:rsid w:val="00DB54AF"/>
    <w:rsid w:val="00DB613E"/>
    <w:rsid w:val="00DB61CF"/>
    <w:rsid w:val="00DB62D0"/>
    <w:rsid w:val="00DB64E3"/>
    <w:rsid w:val="00DB6B38"/>
    <w:rsid w:val="00DB7A3F"/>
    <w:rsid w:val="00DB7BFA"/>
    <w:rsid w:val="00DB7D7A"/>
    <w:rsid w:val="00DC0717"/>
    <w:rsid w:val="00DC079C"/>
    <w:rsid w:val="00DC128F"/>
    <w:rsid w:val="00DC2015"/>
    <w:rsid w:val="00DC295D"/>
    <w:rsid w:val="00DC2F07"/>
    <w:rsid w:val="00DC4659"/>
    <w:rsid w:val="00DC4D0C"/>
    <w:rsid w:val="00DC4FE8"/>
    <w:rsid w:val="00DC5421"/>
    <w:rsid w:val="00DC572B"/>
    <w:rsid w:val="00DC5F1C"/>
    <w:rsid w:val="00DC623A"/>
    <w:rsid w:val="00DC6BE6"/>
    <w:rsid w:val="00DC7130"/>
    <w:rsid w:val="00DC7644"/>
    <w:rsid w:val="00DC7736"/>
    <w:rsid w:val="00DC77BF"/>
    <w:rsid w:val="00DC7C35"/>
    <w:rsid w:val="00DD0556"/>
    <w:rsid w:val="00DD0EF9"/>
    <w:rsid w:val="00DD1417"/>
    <w:rsid w:val="00DD235F"/>
    <w:rsid w:val="00DD2D5D"/>
    <w:rsid w:val="00DD33E8"/>
    <w:rsid w:val="00DD352C"/>
    <w:rsid w:val="00DD392E"/>
    <w:rsid w:val="00DD4F4F"/>
    <w:rsid w:val="00DD6458"/>
    <w:rsid w:val="00DD6BDD"/>
    <w:rsid w:val="00DD6CB7"/>
    <w:rsid w:val="00DD74FF"/>
    <w:rsid w:val="00DD7976"/>
    <w:rsid w:val="00DD7EB4"/>
    <w:rsid w:val="00DE0A65"/>
    <w:rsid w:val="00DE0F10"/>
    <w:rsid w:val="00DE1660"/>
    <w:rsid w:val="00DE1A23"/>
    <w:rsid w:val="00DE1BA2"/>
    <w:rsid w:val="00DE2402"/>
    <w:rsid w:val="00DE2961"/>
    <w:rsid w:val="00DE2C71"/>
    <w:rsid w:val="00DE3623"/>
    <w:rsid w:val="00DE4165"/>
    <w:rsid w:val="00DE4625"/>
    <w:rsid w:val="00DE488A"/>
    <w:rsid w:val="00DE5588"/>
    <w:rsid w:val="00DE5AAD"/>
    <w:rsid w:val="00DE5AD8"/>
    <w:rsid w:val="00DE5EE0"/>
    <w:rsid w:val="00DE6F1D"/>
    <w:rsid w:val="00DE7018"/>
    <w:rsid w:val="00DE7077"/>
    <w:rsid w:val="00DF0783"/>
    <w:rsid w:val="00DF0E15"/>
    <w:rsid w:val="00DF153D"/>
    <w:rsid w:val="00DF2889"/>
    <w:rsid w:val="00DF61BE"/>
    <w:rsid w:val="00DF6221"/>
    <w:rsid w:val="00DF6DDC"/>
    <w:rsid w:val="00DF785F"/>
    <w:rsid w:val="00DF7AAC"/>
    <w:rsid w:val="00E0024B"/>
    <w:rsid w:val="00E004A0"/>
    <w:rsid w:val="00E006BC"/>
    <w:rsid w:val="00E00B89"/>
    <w:rsid w:val="00E0139B"/>
    <w:rsid w:val="00E01B84"/>
    <w:rsid w:val="00E01B97"/>
    <w:rsid w:val="00E02078"/>
    <w:rsid w:val="00E02C35"/>
    <w:rsid w:val="00E02F6C"/>
    <w:rsid w:val="00E0309B"/>
    <w:rsid w:val="00E032BD"/>
    <w:rsid w:val="00E033D2"/>
    <w:rsid w:val="00E0369B"/>
    <w:rsid w:val="00E03DB3"/>
    <w:rsid w:val="00E04B1E"/>
    <w:rsid w:val="00E04C17"/>
    <w:rsid w:val="00E05A3B"/>
    <w:rsid w:val="00E06982"/>
    <w:rsid w:val="00E07D33"/>
    <w:rsid w:val="00E11A79"/>
    <w:rsid w:val="00E12482"/>
    <w:rsid w:val="00E126F4"/>
    <w:rsid w:val="00E12B1A"/>
    <w:rsid w:val="00E12B94"/>
    <w:rsid w:val="00E13EBD"/>
    <w:rsid w:val="00E14254"/>
    <w:rsid w:val="00E146C5"/>
    <w:rsid w:val="00E155B6"/>
    <w:rsid w:val="00E15781"/>
    <w:rsid w:val="00E157DB"/>
    <w:rsid w:val="00E15AA6"/>
    <w:rsid w:val="00E15D03"/>
    <w:rsid w:val="00E168CA"/>
    <w:rsid w:val="00E16C46"/>
    <w:rsid w:val="00E16E6F"/>
    <w:rsid w:val="00E173C1"/>
    <w:rsid w:val="00E17B4A"/>
    <w:rsid w:val="00E200D2"/>
    <w:rsid w:val="00E22133"/>
    <w:rsid w:val="00E2345B"/>
    <w:rsid w:val="00E247D5"/>
    <w:rsid w:val="00E25907"/>
    <w:rsid w:val="00E26409"/>
    <w:rsid w:val="00E264CD"/>
    <w:rsid w:val="00E266A2"/>
    <w:rsid w:val="00E2797F"/>
    <w:rsid w:val="00E3116D"/>
    <w:rsid w:val="00E31AFD"/>
    <w:rsid w:val="00E31D29"/>
    <w:rsid w:val="00E32858"/>
    <w:rsid w:val="00E345C9"/>
    <w:rsid w:val="00E3478F"/>
    <w:rsid w:val="00E34E1B"/>
    <w:rsid w:val="00E3531B"/>
    <w:rsid w:val="00E35A70"/>
    <w:rsid w:val="00E3614C"/>
    <w:rsid w:val="00E36C19"/>
    <w:rsid w:val="00E4012D"/>
    <w:rsid w:val="00E4075C"/>
    <w:rsid w:val="00E4184D"/>
    <w:rsid w:val="00E42636"/>
    <w:rsid w:val="00E431A6"/>
    <w:rsid w:val="00E44D67"/>
    <w:rsid w:val="00E4605D"/>
    <w:rsid w:val="00E46A75"/>
    <w:rsid w:val="00E46BD6"/>
    <w:rsid w:val="00E4714C"/>
    <w:rsid w:val="00E50C79"/>
    <w:rsid w:val="00E5126F"/>
    <w:rsid w:val="00E517AC"/>
    <w:rsid w:val="00E517D3"/>
    <w:rsid w:val="00E5197F"/>
    <w:rsid w:val="00E52DC5"/>
    <w:rsid w:val="00E52F9D"/>
    <w:rsid w:val="00E5429E"/>
    <w:rsid w:val="00E5439C"/>
    <w:rsid w:val="00E546CE"/>
    <w:rsid w:val="00E548C3"/>
    <w:rsid w:val="00E54B17"/>
    <w:rsid w:val="00E55DC0"/>
    <w:rsid w:val="00E565F5"/>
    <w:rsid w:val="00E57C58"/>
    <w:rsid w:val="00E605C4"/>
    <w:rsid w:val="00E60EAB"/>
    <w:rsid w:val="00E60EB6"/>
    <w:rsid w:val="00E62E41"/>
    <w:rsid w:val="00E63297"/>
    <w:rsid w:val="00E63E66"/>
    <w:rsid w:val="00E64F94"/>
    <w:rsid w:val="00E65122"/>
    <w:rsid w:val="00E65590"/>
    <w:rsid w:val="00E65BA8"/>
    <w:rsid w:val="00E660EB"/>
    <w:rsid w:val="00E6624B"/>
    <w:rsid w:val="00E66D57"/>
    <w:rsid w:val="00E6740A"/>
    <w:rsid w:val="00E67E6C"/>
    <w:rsid w:val="00E67F13"/>
    <w:rsid w:val="00E70181"/>
    <w:rsid w:val="00E70531"/>
    <w:rsid w:val="00E707BC"/>
    <w:rsid w:val="00E70A48"/>
    <w:rsid w:val="00E7180F"/>
    <w:rsid w:val="00E7242E"/>
    <w:rsid w:val="00E7282B"/>
    <w:rsid w:val="00E72C8C"/>
    <w:rsid w:val="00E72F97"/>
    <w:rsid w:val="00E734A8"/>
    <w:rsid w:val="00E73B7D"/>
    <w:rsid w:val="00E7409E"/>
    <w:rsid w:val="00E74A95"/>
    <w:rsid w:val="00E7502D"/>
    <w:rsid w:val="00E7570D"/>
    <w:rsid w:val="00E76042"/>
    <w:rsid w:val="00E7634C"/>
    <w:rsid w:val="00E76799"/>
    <w:rsid w:val="00E77020"/>
    <w:rsid w:val="00E77A88"/>
    <w:rsid w:val="00E77E08"/>
    <w:rsid w:val="00E80594"/>
    <w:rsid w:val="00E80FDA"/>
    <w:rsid w:val="00E8176D"/>
    <w:rsid w:val="00E82EDD"/>
    <w:rsid w:val="00E83691"/>
    <w:rsid w:val="00E85127"/>
    <w:rsid w:val="00E855DC"/>
    <w:rsid w:val="00E85A0A"/>
    <w:rsid w:val="00E85EA8"/>
    <w:rsid w:val="00E86239"/>
    <w:rsid w:val="00E86E08"/>
    <w:rsid w:val="00E87179"/>
    <w:rsid w:val="00E90D72"/>
    <w:rsid w:val="00E91821"/>
    <w:rsid w:val="00E91FB7"/>
    <w:rsid w:val="00E9230D"/>
    <w:rsid w:val="00E92C18"/>
    <w:rsid w:val="00E94A4C"/>
    <w:rsid w:val="00E95024"/>
    <w:rsid w:val="00E95547"/>
    <w:rsid w:val="00E957E6"/>
    <w:rsid w:val="00E958B4"/>
    <w:rsid w:val="00E96E6F"/>
    <w:rsid w:val="00E971BA"/>
    <w:rsid w:val="00E972D4"/>
    <w:rsid w:val="00E97C4B"/>
    <w:rsid w:val="00E97C95"/>
    <w:rsid w:val="00E97EB3"/>
    <w:rsid w:val="00EA067F"/>
    <w:rsid w:val="00EA1498"/>
    <w:rsid w:val="00EA197E"/>
    <w:rsid w:val="00EA1A54"/>
    <w:rsid w:val="00EA2A0A"/>
    <w:rsid w:val="00EA2F43"/>
    <w:rsid w:val="00EA3BF8"/>
    <w:rsid w:val="00EA3D73"/>
    <w:rsid w:val="00EA3EE3"/>
    <w:rsid w:val="00EA65C1"/>
    <w:rsid w:val="00EA7635"/>
    <w:rsid w:val="00EA7A3F"/>
    <w:rsid w:val="00EA7ACB"/>
    <w:rsid w:val="00EB15F5"/>
    <w:rsid w:val="00EB1D84"/>
    <w:rsid w:val="00EB230D"/>
    <w:rsid w:val="00EB234C"/>
    <w:rsid w:val="00EB38A8"/>
    <w:rsid w:val="00EB3A03"/>
    <w:rsid w:val="00EB4375"/>
    <w:rsid w:val="00EB46F4"/>
    <w:rsid w:val="00EB5076"/>
    <w:rsid w:val="00EB52B3"/>
    <w:rsid w:val="00EB7B8E"/>
    <w:rsid w:val="00EC02D2"/>
    <w:rsid w:val="00EC264D"/>
    <w:rsid w:val="00EC2698"/>
    <w:rsid w:val="00EC281B"/>
    <w:rsid w:val="00EC3331"/>
    <w:rsid w:val="00EC3361"/>
    <w:rsid w:val="00EC3410"/>
    <w:rsid w:val="00EC35ED"/>
    <w:rsid w:val="00EC45DF"/>
    <w:rsid w:val="00EC4FD1"/>
    <w:rsid w:val="00EC5273"/>
    <w:rsid w:val="00EC57E8"/>
    <w:rsid w:val="00EC5B64"/>
    <w:rsid w:val="00EC60A5"/>
    <w:rsid w:val="00EC676B"/>
    <w:rsid w:val="00EC739C"/>
    <w:rsid w:val="00ED0140"/>
    <w:rsid w:val="00ED0F25"/>
    <w:rsid w:val="00ED16A1"/>
    <w:rsid w:val="00ED3365"/>
    <w:rsid w:val="00ED3500"/>
    <w:rsid w:val="00ED38B7"/>
    <w:rsid w:val="00ED3E8B"/>
    <w:rsid w:val="00ED57F5"/>
    <w:rsid w:val="00ED6595"/>
    <w:rsid w:val="00ED6E10"/>
    <w:rsid w:val="00ED6E50"/>
    <w:rsid w:val="00ED771E"/>
    <w:rsid w:val="00EE0056"/>
    <w:rsid w:val="00EE0524"/>
    <w:rsid w:val="00EE1A78"/>
    <w:rsid w:val="00EE261E"/>
    <w:rsid w:val="00EE2961"/>
    <w:rsid w:val="00EE3255"/>
    <w:rsid w:val="00EE39AA"/>
    <w:rsid w:val="00EE3B4E"/>
    <w:rsid w:val="00EE4447"/>
    <w:rsid w:val="00EE47E7"/>
    <w:rsid w:val="00EE4A72"/>
    <w:rsid w:val="00EE5753"/>
    <w:rsid w:val="00EE672F"/>
    <w:rsid w:val="00EE76AF"/>
    <w:rsid w:val="00EF02E5"/>
    <w:rsid w:val="00EF2901"/>
    <w:rsid w:val="00EF2CDA"/>
    <w:rsid w:val="00EF377D"/>
    <w:rsid w:val="00EF44B2"/>
    <w:rsid w:val="00EF4B29"/>
    <w:rsid w:val="00EF5A1E"/>
    <w:rsid w:val="00EF6BFD"/>
    <w:rsid w:val="00F01651"/>
    <w:rsid w:val="00F01EBD"/>
    <w:rsid w:val="00F020BB"/>
    <w:rsid w:val="00F0252D"/>
    <w:rsid w:val="00F02659"/>
    <w:rsid w:val="00F027B4"/>
    <w:rsid w:val="00F031AE"/>
    <w:rsid w:val="00F0555E"/>
    <w:rsid w:val="00F05CE1"/>
    <w:rsid w:val="00F061C0"/>
    <w:rsid w:val="00F063DE"/>
    <w:rsid w:val="00F101C0"/>
    <w:rsid w:val="00F11E53"/>
    <w:rsid w:val="00F12431"/>
    <w:rsid w:val="00F130FE"/>
    <w:rsid w:val="00F148AB"/>
    <w:rsid w:val="00F15379"/>
    <w:rsid w:val="00F16F23"/>
    <w:rsid w:val="00F2010A"/>
    <w:rsid w:val="00F209B4"/>
    <w:rsid w:val="00F21BF4"/>
    <w:rsid w:val="00F22B14"/>
    <w:rsid w:val="00F238B6"/>
    <w:rsid w:val="00F23DE1"/>
    <w:rsid w:val="00F24D25"/>
    <w:rsid w:val="00F25275"/>
    <w:rsid w:val="00F254CB"/>
    <w:rsid w:val="00F26692"/>
    <w:rsid w:val="00F27400"/>
    <w:rsid w:val="00F27DA3"/>
    <w:rsid w:val="00F27F05"/>
    <w:rsid w:val="00F3005E"/>
    <w:rsid w:val="00F301E4"/>
    <w:rsid w:val="00F30207"/>
    <w:rsid w:val="00F30D95"/>
    <w:rsid w:val="00F30E8E"/>
    <w:rsid w:val="00F310ED"/>
    <w:rsid w:val="00F31DEB"/>
    <w:rsid w:val="00F31F66"/>
    <w:rsid w:val="00F32A38"/>
    <w:rsid w:val="00F32EE1"/>
    <w:rsid w:val="00F32F5A"/>
    <w:rsid w:val="00F33BF8"/>
    <w:rsid w:val="00F342E4"/>
    <w:rsid w:val="00F34B2C"/>
    <w:rsid w:val="00F350BF"/>
    <w:rsid w:val="00F36701"/>
    <w:rsid w:val="00F37012"/>
    <w:rsid w:val="00F37032"/>
    <w:rsid w:val="00F372EE"/>
    <w:rsid w:val="00F3794F"/>
    <w:rsid w:val="00F37DEF"/>
    <w:rsid w:val="00F40118"/>
    <w:rsid w:val="00F40497"/>
    <w:rsid w:val="00F404F1"/>
    <w:rsid w:val="00F4092C"/>
    <w:rsid w:val="00F419F2"/>
    <w:rsid w:val="00F41B36"/>
    <w:rsid w:val="00F42DFC"/>
    <w:rsid w:val="00F440F1"/>
    <w:rsid w:val="00F44EB4"/>
    <w:rsid w:val="00F46FC5"/>
    <w:rsid w:val="00F50132"/>
    <w:rsid w:val="00F50A1B"/>
    <w:rsid w:val="00F50CC2"/>
    <w:rsid w:val="00F50CC3"/>
    <w:rsid w:val="00F50CF0"/>
    <w:rsid w:val="00F51608"/>
    <w:rsid w:val="00F51800"/>
    <w:rsid w:val="00F51D39"/>
    <w:rsid w:val="00F524A0"/>
    <w:rsid w:val="00F52573"/>
    <w:rsid w:val="00F52913"/>
    <w:rsid w:val="00F538CB"/>
    <w:rsid w:val="00F53F1C"/>
    <w:rsid w:val="00F542E2"/>
    <w:rsid w:val="00F54341"/>
    <w:rsid w:val="00F54AC0"/>
    <w:rsid w:val="00F54DC2"/>
    <w:rsid w:val="00F54E7F"/>
    <w:rsid w:val="00F554FA"/>
    <w:rsid w:val="00F5582A"/>
    <w:rsid w:val="00F55C0A"/>
    <w:rsid w:val="00F562ED"/>
    <w:rsid w:val="00F56684"/>
    <w:rsid w:val="00F5793E"/>
    <w:rsid w:val="00F57A88"/>
    <w:rsid w:val="00F60ACE"/>
    <w:rsid w:val="00F60B00"/>
    <w:rsid w:val="00F60B25"/>
    <w:rsid w:val="00F60FBA"/>
    <w:rsid w:val="00F61418"/>
    <w:rsid w:val="00F63D25"/>
    <w:rsid w:val="00F64A41"/>
    <w:rsid w:val="00F64B33"/>
    <w:rsid w:val="00F64F75"/>
    <w:rsid w:val="00F65D81"/>
    <w:rsid w:val="00F6789A"/>
    <w:rsid w:val="00F67E17"/>
    <w:rsid w:val="00F67E69"/>
    <w:rsid w:val="00F7001D"/>
    <w:rsid w:val="00F70BF6"/>
    <w:rsid w:val="00F7218C"/>
    <w:rsid w:val="00F72624"/>
    <w:rsid w:val="00F73B85"/>
    <w:rsid w:val="00F746DC"/>
    <w:rsid w:val="00F74760"/>
    <w:rsid w:val="00F74D42"/>
    <w:rsid w:val="00F74EAF"/>
    <w:rsid w:val="00F7598E"/>
    <w:rsid w:val="00F75FAB"/>
    <w:rsid w:val="00F761DC"/>
    <w:rsid w:val="00F769ED"/>
    <w:rsid w:val="00F775AD"/>
    <w:rsid w:val="00F7779F"/>
    <w:rsid w:val="00F80F51"/>
    <w:rsid w:val="00F810B2"/>
    <w:rsid w:val="00F81242"/>
    <w:rsid w:val="00F812C0"/>
    <w:rsid w:val="00F81BBF"/>
    <w:rsid w:val="00F82113"/>
    <w:rsid w:val="00F82145"/>
    <w:rsid w:val="00F83133"/>
    <w:rsid w:val="00F83715"/>
    <w:rsid w:val="00F845E8"/>
    <w:rsid w:val="00F84B84"/>
    <w:rsid w:val="00F850D6"/>
    <w:rsid w:val="00F85134"/>
    <w:rsid w:val="00F85954"/>
    <w:rsid w:val="00F85AEF"/>
    <w:rsid w:val="00F85F29"/>
    <w:rsid w:val="00F86029"/>
    <w:rsid w:val="00F86A16"/>
    <w:rsid w:val="00F878E6"/>
    <w:rsid w:val="00F90717"/>
    <w:rsid w:val="00F91500"/>
    <w:rsid w:val="00F91516"/>
    <w:rsid w:val="00F9180F"/>
    <w:rsid w:val="00F92298"/>
    <w:rsid w:val="00F92E29"/>
    <w:rsid w:val="00F935E8"/>
    <w:rsid w:val="00F95BD1"/>
    <w:rsid w:val="00F963C7"/>
    <w:rsid w:val="00F969A6"/>
    <w:rsid w:val="00FA02E3"/>
    <w:rsid w:val="00FA0EBF"/>
    <w:rsid w:val="00FA1304"/>
    <w:rsid w:val="00FA1457"/>
    <w:rsid w:val="00FA19DD"/>
    <w:rsid w:val="00FA24D9"/>
    <w:rsid w:val="00FA30C7"/>
    <w:rsid w:val="00FA33D0"/>
    <w:rsid w:val="00FA3FE5"/>
    <w:rsid w:val="00FA4580"/>
    <w:rsid w:val="00FA4858"/>
    <w:rsid w:val="00FA4D12"/>
    <w:rsid w:val="00FA5790"/>
    <w:rsid w:val="00FA5BA5"/>
    <w:rsid w:val="00FA623D"/>
    <w:rsid w:val="00FA74F4"/>
    <w:rsid w:val="00FA7EBE"/>
    <w:rsid w:val="00FB07A5"/>
    <w:rsid w:val="00FB091B"/>
    <w:rsid w:val="00FB187F"/>
    <w:rsid w:val="00FB2DD1"/>
    <w:rsid w:val="00FB35A1"/>
    <w:rsid w:val="00FB4D90"/>
    <w:rsid w:val="00FB5773"/>
    <w:rsid w:val="00FB73B0"/>
    <w:rsid w:val="00FB7A68"/>
    <w:rsid w:val="00FC1649"/>
    <w:rsid w:val="00FC2CB0"/>
    <w:rsid w:val="00FC2D88"/>
    <w:rsid w:val="00FC3B0F"/>
    <w:rsid w:val="00FC4517"/>
    <w:rsid w:val="00FC4603"/>
    <w:rsid w:val="00FC4DA1"/>
    <w:rsid w:val="00FC5B8D"/>
    <w:rsid w:val="00FC615C"/>
    <w:rsid w:val="00FC71F5"/>
    <w:rsid w:val="00FC7C46"/>
    <w:rsid w:val="00FD0DA4"/>
    <w:rsid w:val="00FD10C2"/>
    <w:rsid w:val="00FD11DB"/>
    <w:rsid w:val="00FD12FF"/>
    <w:rsid w:val="00FD136C"/>
    <w:rsid w:val="00FD137C"/>
    <w:rsid w:val="00FD13C6"/>
    <w:rsid w:val="00FD141F"/>
    <w:rsid w:val="00FD2355"/>
    <w:rsid w:val="00FD24FA"/>
    <w:rsid w:val="00FD32B2"/>
    <w:rsid w:val="00FD3456"/>
    <w:rsid w:val="00FD35D5"/>
    <w:rsid w:val="00FD3947"/>
    <w:rsid w:val="00FD4905"/>
    <w:rsid w:val="00FD4C66"/>
    <w:rsid w:val="00FD58F3"/>
    <w:rsid w:val="00FD60E1"/>
    <w:rsid w:val="00FD68CC"/>
    <w:rsid w:val="00FE08B2"/>
    <w:rsid w:val="00FE0D8B"/>
    <w:rsid w:val="00FE1EC7"/>
    <w:rsid w:val="00FE2140"/>
    <w:rsid w:val="00FE2640"/>
    <w:rsid w:val="00FE26FD"/>
    <w:rsid w:val="00FE31EE"/>
    <w:rsid w:val="00FE4FB1"/>
    <w:rsid w:val="00FE5FAC"/>
    <w:rsid w:val="00FE69F2"/>
    <w:rsid w:val="00FE6EF3"/>
    <w:rsid w:val="00FE713E"/>
    <w:rsid w:val="00FF0155"/>
    <w:rsid w:val="00FF09D0"/>
    <w:rsid w:val="00FF109B"/>
    <w:rsid w:val="00FF1802"/>
    <w:rsid w:val="00FF183E"/>
    <w:rsid w:val="00FF2DE2"/>
    <w:rsid w:val="00FF43A8"/>
    <w:rsid w:val="00FF4736"/>
    <w:rsid w:val="00FF5D26"/>
    <w:rsid w:val="00FF6942"/>
    <w:rsid w:val="3E63777D"/>
    <w:rsid w:val="6280DA26"/>
    <w:rsid w:val="7A64488D"/>
  </w:rsids>
  <m:mathPr>
    <m:mathFont m:val="Cambria Math"/>
    <m:brkBin m:val="before"/>
    <m:brkBinSub m:val="--"/>
    <m:smallFrac m:val="0"/>
    <m:dispDef/>
    <m:lMargin m:val="0"/>
    <m:rMargin m:val="0"/>
    <m:defJc m:val="centerGroup"/>
    <m:wrapIndent m:val="1440"/>
    <m:intLim m:val="subSup"/>
    <m:naryLim m:val="undOvr"/>
  </m:mathPr>
  <w:themeFontLang w:val="en-GB"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C1F73"/>
  <w15:docId w15:val="{2EEB49FD-7422-4A44-9228-08BBEA65A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zh-TW" w:bidi="he-IL"/>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9" w:unhideWhenUsed="1"/>
    <w:lsdException w:name="heading 8" w:semiHidden="1" w:uiPriority="9"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4310D"/>
    <w:pPr>
      <w:tabs>
        <w:tab w:val="left" w:pos="567"/>
        <w:tab w:val="left" w:pos="1134"/>
        <w:tab w:val="left" w:pos="1701"/>
        <w:tab w:val="left" w:pos="2268"/>
        <w:tab w:val="left" w:pos="2835"/>
      </w:tabs>
      <w:spacing w:before="120" w:after="120"/>
    </w:pPr>
    <w:rPr>
      <w:rFonts w:ascii="Arial" w:eastAsia="Times New Roman" w:hAnsi="Arial"/>
      <w:sz w:val="22"/>
      <w:lang w:val="en-GB" w:eastAsia="en-GB" w:bidi="ar-SA"/>
    </w:rPr>
  </w:style>
  <w:style w:type="paragraph" w:styleId="Heading1">
    <w:name w:val="heading 1"/>
    <w:next w:val="Heading2"/>
    <w:link w:val="Heading1Char"/>
    <w:qFormat/>
    <w:rsid w:val="00C4310D"/>
    <w:pPr>
      <w:keepNext/>
      <w:spacing w:before="360" w:after="120"/>
      <w:jc w:val="center"/>
      <w:outlineLvl w:val="0"/>
    </w:pPr>
    <w:rPr>
      <w:rFonts w:ascii="Arial" w:eastAsia="Times New Roman" w:hAnsi="Arial" w:cs="Arial"/>
      <w:b/>
      <w:bCs/>
      <w:kern w:val="32"/>
      <w:sz w:val="28"/>
      <w:szCs w:val="32"/>
      <w:lang w:val="en-GB" w:eastAsia="en-US" w:bidi="ar-SA"/>
    </w:rPr>
  </w:style>
  <w:style w:type="paragraph" w:styleId="Heading2">
    <w:name w:val="heading 2"/>
    <w:basedOn w:val="Heading1"/>
    <w:next w:val="Normalnumberedlevel1"/>
    <w:link w:val="Heading2Char"/>
    <w:qFormat/>
    <w:rsid w:val="00C4310D"/>
    <w:pPr>
      <w:spacing w:before="240"/>
      <w:jc w:val="left"/>
      <w:outlineLvl w:val="1"/>
    </w:pPr>
    <w:rPr>
      <w:iCs/>
      <w:sz w:val="22"/>
      <w:szCs w:val="28"/>
    </w:rPr>
  </w:style>
  <w:style w:type="paragraph" w:styleId="Heading3">
    <w:name w:val="heading 3"/>
    <w:basedOn w:val="Heading2"/>
    <w:next w:val="Normalnumberedlevel1"/>
    <w:link w:val="Heading3Char"/>
    <w:qFormat/>
    <w:rsid w:val="006F1592"/>
    <w:pPr>
      <w:overflowPunct w:val="0"/>
      <w:autoSpaceDE w:val="0"/>
      <w:autoSpaceDN w:val="0"/>
      <w:adjustRightInd w:val="0"/>
      <w:spacing w:before="120"/>
      <w:textAlignment w:val="baseline"/>
      <w:outlineLvl w:val="2"/>
    </w:pPr>
    <w:rPr>
      <w:b w:val="0"/>
      <w:i/>
    </w:rPr>
  </w:style>
  <w:style w:type="paragraph" w:styleId="Heading4">
    <w:name w:val="heading 4"/>
    <w:basedOn w:val="Heading3"/>
    <w:next w:val="Normalnumberedlevel1"/>
    <w:link w:val="Heading4Char"/>
    <w:qFormat/>
    <w:rsid w:val="006F1592"/>
    <w:pPr>
      <w:ind w:left="567"/>
      <w:outlineLvl w:val="3"/>
    </w:pPr>
    <w:rPr>
      <w:bCs w:val="0"/>
    </w:rPr>
  </w:style>
  <w:style w:type="paragraph" w:styleId="Heading5">
    <w:name w:val="heading 5"/>
    <w:basedOn w:val="Heading4"/>
    <w:next w:val="Normalnumberedlevel1"/>
    <w:link w:val="Heading5Char"/>
    <w:unhideWhenUsed/>
    <w:qFormat/>
    <w:rsid w:val="006F1592"/>
    <w:pPr>
      <w:jc w:val="both"/>
      <w:outlineLvl w:val="4"/>
    </w:pPr>
    <w:rPr>
      <w:rFonts w:eastAsiaTheme="minorEastAsia"/>
      <w:bCs/>
      <w:i w:val="0"/>
      <w:iCs w:val="0"/>
      <w:szCs w:val="22"/>
      <w:u w:val="single"/>
    </w:rPr>
  </w:style>
  <w:style w:type="paragraph" w:styleId="Heading6">
    <w:name w:val="heading 6"/>
    <w:basedOn w:val="Heading5"/>
    <w:next w:val="Normalnumberedlevel1"/>
    <w:link w:val="Heading6Char"/>
    <w:unhideWhenUsed/>
    <w:rsid w:val="00C4310D"/>
    <w:pPr>
      <w:ind w:left="1134"/>
      <w:outlineLvl w:val="5"/>
    </w:pPr>
    <w:rPr>
      <w:bCs w:val="0"/>
      <w:i/>
      <w:smallCaps/>
      <w:sz w:val="20"/>
    </w:rPr>
  </w:style>
  <w:style w:type="paragraph" w:styleId="Heading7">
    <w:name w:val="heading 7"/>
    <w:basedOn w:val="Heading6"/>
    <w:next w:val="Normalnumberedlevel1"/>
    <w:link w:val="Heading7Char"/>
    <w:uiPriority w:val="9"/>
    <w:unhideWhenUsed/>
    <w:rsid w:val="00C4310D"/>
    <w:pPr>
      <w:outlineLvl w:val="6"/>
    </w:pPr>
    <w:rPr>
      <w:i w:val="0"/>
      <w:smallCaps w:val="0"/>
      <w:u w:val="none"/>
    </w:rPr>
  </w:style>
  <w:style w:type="paragraph" w:styleId="Heading8">
    <w:name w:val="heading 8"/>
    <w:basedOn w:val="Heading7"/>
    <w:next w:val="Normalnumberedlevel1"/>
    <w:link w:val="Heading8Char"/>
    <w:uiPriority w:val="9"/>
    <w:unhideWhenUsed/>
    <w:rsid w:val="00C4310D"/>
    <w:pPr>
      <w:outlineLvl w:val="7"/>
    </w:pPr>
    <w:rPr>
      <w:caps/>
      <w:spacing w:val="10"/>
      <w:sz w:val="18"/>
      <w:szCs w:val="18"/>
    </w:rPr>
  </w:style>
  <w:style w:type="paragraph" w:styleId="Heading9">
    <w:name w:val="heading 9"/>
    <w:basedOn w:val="Normal"/>
    <w:next w:val="Normal"/>
    <w:link w:val="Heading9Char"/>
    <w:semiHidden/>
    <w:unhideWhenUsed/>
    <w:rsid w:val="00C4310D"/>
    <w:pPr>
      <w:spacing w:before="240" w:after="60"/>
      <w:jc w:val="both"/>
      <w:outlineLvl w:val="8"/>
    </w:pPr>
    <w:rPr>
      <w:rFonts w:asciiTheme="majorHAnsi" w:eastAsiaTheme="majorEastAsia" w:hAnsiTheme="majorHAnsi" w:cstheme="majorBidi"/>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es">
    <w:name w:val="Addresses"/>
    <w:basedOn w:val="Normal"/>
    <w:link w:val="AddressesChar"/>
    <w:rsid w:val="00C4310D"/>
    <w:pPr>
      <w:contextualSpacing/>
    </w:pPr>
  </w:style>
  <w:style w:type="character" w:customStyle="1" w:styleId="AddressesChar">
    <w:name w:val="Addresses Char"/>
    <w:basedOn w:val="DefaultParagraphFont"/>
    <w:link w:val="Addresses"/>
    <w:rsid w:val="00C4310D"/>
    <w:rPr>
      <w:rFonts w:ascii="Arial" w:eastAsia="Times New Roman" w:hAnsi="Arial"/>
      <w:sz w:val="22"/>
      <w:lang w:val="en-GB" w:eastAsia="en-GB" w:bidi="ar-SA"/>
    </w:rPr>
  </w:style>
  <w:style w:type="paragraph" w:styleId="Footer">
    <w:name w:val="footer"/>
    <w:basedOn w:val="Normal"/>
    <w:link w:val="FooterChar"/>
    <w:rsid w:val="00C4310D"/>
    <w:pPr>
      <w:keepLines/>
      <w:spacing w:before="0" w:after="0"/>
      <w:jc w:val="center"/>
    </w:pPr>
    <w:rPr>
      <w:i/>
    </w:rPr>
  </w:style>
  <w:style w:type="character" w:customStyle="1" w:styleId="FooterChar">
    <w:name w:val="Footer Char"/>
    <w:link w:val="Footer"/>
    <w:rsid w:val="00C4310D"/>
    <w:rPr>
      <w:rFonts w:ascii="Arial" w:eastAsia="Times New Roman" w:hAnsi="Arial"/>
      <w:i/>
      <w:sz w:val="22"/>
      <w:lang w:val="en-GB" w:eastAsia="en-GB" w:bidi="ar-SA"/>
    </w:rPr>
  </w:style>
  <w:style w:type="paragraph" w:customStyle="1" w:styleId="AppendixHeader">
    <w:name w:val="Appendix Header"/>
    <w:basedOn w:val="Footer"/>
    <w:link w:val="AppendixHeaderChar"/>
    <w:rsid w:val="00C4310D"/>
  </w:style>
  <w:style w:type="character" w:customStyle="1" w:styleId="AppendixHeaderChar">
    <w:name w:val="Appendix Header Char"/>
    <w:basedOn w:val="FooterChar"/>
    <w:link w:val="AppendixHeader"/>
    <w:rsid w:val="00C4310D"/>
    <w:rPr>
      <w:rFonts w:ascii="Arial" w:eastAsia="Times New Roman" w:hAnsi="Arial"/>
      <w:i/>
      <w:sz w:val="22"/>
      <w:lang w:val="en-GB" w:eastAsia="en-GB" w:bidi="ar-SA"/>
    </w:rPr>
  </w:style>
  <w:style w:type="paragraph" w:customStyle="1" w:styleId="Bodyparagraph">
    <w:name w:val="Body paragraph"/>
    <w:basedOn w:val="Normal"/>
    <w:link w:val="BodyparagraphChar"/>
    <w:qFormat/>
    <w:rsid w:val="00C4310D"/>
    <w:pPr>
      <w:tabs>
        <w:tab w:val="clear" w:pos="567"/>
        <w:tab w:val="clear" w:pos="1134"/>
        <w:tab w:val="clear" w:pos="1701"/>
        <w:tab w:val="clear" w:pos="2268"/>
        <w:tab w:val="clear" w:pos="2835"/>
      </w:tabs>
      <w:jc w:val="both"/>
    </w:pPr>
    <w:rPr>
      <w:lang w:eastAsia="en-US"/>
    </w:rPr>
  </w:style>
  <w:style w:type="character" w:customStyle="1" w:styleId="BodyparagraphChar">
    <w:name w:val="Body paragraph Char"/>
    <w:basedOn w:val="DefaultParagraphFont"/>
    <w:link w:val="Bodyparagraph"/>
    <w:rsid w:val="00C4310D"/>
    <w:rPr>
      <w:rFonts w:ascii="Arial" w:eastAsia="Times New Roman" w:hAnsi="Arial"/>
      <w:sz w:val="22"/>
      <w:lang w:val="en-GB" w:eastAsia="en-US" w:bidi="ar-SA"/>
    </w:rPr>
  </w:style>
  <w:style w:type="paragraph" w:customStyle="1" w:styleId="BoxHeading2">
    <w:name w:val="Box Heading 2"/>
    <w:basedOn w:val="Heading2"/>
    <w:next w:val="Normal"/>
    <w:link w:val="BoxHeading2Char"/>
    <w:rsid w:val="00C4310D"/>
    <w:pPr>
      <w:spacing w:after="240"/>
    </w:pPr>
  </w:style>
  <w:style w:type="paragraph" w:styleId="BalloonText">
    <w:name w:val="Balloon Text"/>
    <w:basedOn w:val="Normal"/>
    <w:link w:val="BalloonTextChar"/>
    <w:rsid w:val="00C4310D"/>
    <w:pPr>
      <w:spacing w:before="0" w:after="0"/>
    </w:pPr>
    <w:rPr>
      <w:rFonts w:ascii="Tahoma" w:hAnsi="Tahoma" w:cs="Tahoma"/>
      <w:sz w:val="16"/>
      <w:szCs w:val="16"/>
    </w:rPr>
  </w:style>
  <w:style w:type="character" w:customStyle="1" w:styleId="BalloonTextChar">
    <w:name w:val="Balloon Text Char"/>
    <w:basedOn w:val="DefaultParagraphFont"/>
    <w:link w:val="BalloonText"/>
    <w:rsid w:val="00C4310D"/>
    <w:rPr>
      <w:rFonts w:ascii="Tahoma" w:eastAsia="Times New Roman" w:hAnsi="Tahoma" w:cs="Tahoma"/>
      <w:sz w:val="16"/>
      <w:szCs w:val="16"/>
      <w:lang w:val="en-GB" w:eastAsia="en-GB" w:bidi="ar-SA"/>
    </w:rPr>
  </w:style>
  <w:style w:type="character" w:customStyle="1" w:styleId="Heading1Char">
    <w:name w:val="Heading 1 Char"/>
    <w:basedOn w:val="DefaultParagraphFont"/>
    <w:link w:val="Heading1"/>
    <w:rsid w:val="00C4310D"/>
    <w:rPr>
      <w:rFonts w:ascii="Arial" w:eastAsia="Times New Roman" w:hAnsi="Arial" w:cs="Arial"/>
      <w:b/>
      <w:bCs/>
      <w:kern w:val="32"/>
      <w:sz w:val="28"/>
      <w:szCs w:val="32"/>
      <w:lang w:val="en-GB" w:eastAsia="en-US" w:bidi="ar-SA"/>
    </w:rPr>
  </w:style>
  <w:style w:type="character" w:customStyle="1" w:styleId="BoxHeading2Char">
    <w:name w:val="Box Heading 2 Char"/>
    <w:link w:val="BoxHeading2"/>
    <w:rsid w:val="00C4310D"/>
    <w:rPr>
      <w:rFonts w:ascii="Arial" w:eastAsia="Times New Roman" w:hAnsi="Arial" w:cs="Arial"/>
      <w:b/>
      <w:bCs/>
      <w:iCs/>
      <w:kern w:val="32"/>
      <w:sz w:val="22"/>
      <w:szCs w:val="28"/>
      <w:lang w:val="en-GB" w:eastAsia="en-US" w:bidi="ar-SA"/>
    </w:rPr>
  </w:style>
  <w:style w:type="paragraph" w:customStyle="1" w:styleId="BoxTitle">
    <w:name w:val="Box Title"/>
    <w:next w:val="Normal"/>
    <w:link w:val="BoxTitleChar"/>
    <w:qFormat/>
    <w:rsid w:val="00C4310D"/>
    <w:pPr>
      <w:spacing w:before="120"/>
      <w:jc w:val="both"/>
    </w:pPr>
    <w:rPr>
      <w:rFonts w:ascii="Arial" w:eastAsiaTheme="majorEastAsia" w:hAnsi="Arial" w:cs="Arial"/>
      <w:b/>
      <w:bCs/>
      <w:iCs/>
      <w:kern w:val="32"/>
      <w:sz w:val="22"/>
      <w:szCs w:val="28"/>
      <w:lang w:val="en-GB" w:eastAsia="en-US" w:bidi="ar-SA"/>
    </w:rPr>
  </w:style>
  <w:style w:type="character" w:customStyle="1" w:styleId="BoxTitleChar">
    <w:name w:val="Box Title Char"/>
    <w:basedOn w:val="Heading2Char"/>
    <w:link w:val="BoxTitle"/>
    <w:rsid w:val="00C4310D"/>
    <w:rPr>
      <w:rFonts w:ascii="Arial" w:eastAsiaTheme="majorEastAsia" w:hAnsi="Arial" w:cs="Arial"/>
      <w:b/>
      <w:bCs/>
      <w:iCs/>
      <w:kern w:val="32"/>
      <w:sz w:val="22"/>
      <w:szCs w:val="28"/>
      <w:lang w:val="en-GB" w:eastAsia="en-US" w:bidi="ar-SA"/>
    </w:rPr>
  </w:style>
  <w:style w:type="paragraph" w:customStyle="1" w:styleId="Bulletedlist">
    <w:name w:val="Bulleted list"/>
    <w:basedOn w:val="Normal"/>
    <w:link w:val="BulletedlistChar"/>
    <w:rsid w:val="00C4310D"/>
    <w:pPr>
      <w:numPr>
        <w:numId w:val="2"/>
      </w:numPr>
      <w:jc w:val="both"/>
    </w:pPr>
  </w:style>
  <w:style w:type="character" w:customStyle="1" w:styleId="BulletedlistChar">
    <w:name w:val="Bulleted list Char"/>
    <w:basedOn w:val="DefaultParagraphFont"/>
    <w:link w:val="Bulletedlist"/>
    <w:rsid w:val="00C4310D"/>
    <w:rPr>
      <w:rFonts w:ascii="Arial" w:eastAsia="Times New Roman" w:hAnsi="Arial"/>
      <w:sz w:val="22"/>
      <w:lang w:val="en-GB" w:eastAsia="en-GB" w:bidi="ar-SA"/>
    </w:rPr>
  </w:style>
  <w:style w:type="paragraph" w:customStyle="1" w:styleId="Centredtext">
    <w:name w:val="Centred text"/>
    <w:basedOn w:val="Normal"/>
    <w:link w:val="CentredtextChar"/>
    <w:rsid w:val="00C4310D"/>
    <w:pPr>
      <w:keepLines/>
      <w:contextualSpacing/>
      <w:jc w:val="center"/>
    </w:pPr>
  </w:style>
  <w:style w:type="character" w:customStyle="1" w:styleId="CentredtextChar">
    <w:name w:val="Centred text Char"/>
    <w:basedOn w:val="DefaultParagraphFont"/>
    <w:link w:val="Centredtext"/>
    <w:rsid w:val="00C4310D"/>
    <w:rPr>
      <w:rFonts w:ascii="Arial" w:eastAsia="Times New Roman" w:hAnsi="Arial"/>
      <w:sz w:val="22"/>
      <w:lang w:val="en-GB" w:eastAsia="en-GB" w:bidi="ar-SA"/>
    </w:rPr>
  </w:style>
  <w:style w:type="paragraph" w:customStyle="1" w:styleId="Centredtextforboxes">
    <w:name w:val="Centred text for boxes"/>
    <w:basedOn w:val="Normal"/>
    <w:link w:val="CentredtextforboxesChar"/>
    <w:rsid w:val="00C4310D"/>
    <w:pPr>
      <w:spacing w:before="240"/>
      <w:contextualSpacing/>
      <w:jc w:val="center"/>
    </w:pPr>
  </w:style>
  <w:style w:type="character" w:customStyle="1" w:styleId="CentredtextforboxesChar">
    <w:name w:val="Centred text for boxes Char"/>
    <w:link w:val="Centredtextforboxes"/>
    <w:rsid w:val="00C4310D"/>
    <w:rPr>
      <w:rFonts w:ascii="Arial" w:eastAsia="Times New Roman" w:hAnsi="Arial"/>
      <w:sz w:val="22"/>
      <w:lang w:val="en-GB" w:eastAsia="en-GB" w:bidi="ar-SA"/>
    </w:rPr>
  </w:style>
  <w:style w:type="paragraph" w:styleId="FootnoteText">
    <w:name w:val="footnote text"/>
    <w:aliases w:val="FT"/>
    <w:basedOn w:val="Normal"/>
    <w:link w:val="FootnoteTextChar"/>
    <w:rsid w:val="00C4310D"/>
    <w:pPr>
      <w:spacing w:before="0"/>
    </w:pPr>
    <w:rPr>
      <w:sz w:val="20"/>
    </w:rPr>
  </w:style>
  <w:style w:type="character" w:customStyle="1" w:styleId="FootnoteTextChar">
    <w:name w:val="Footnote Text Char"/>
    <w:aliases w:val="FT Char"/>
    <w:basedOn w:val="DefaultParagraphFont"/>
    <w:link w:val="FootnoteText"/>
    <w:rsid w:val="00C4310D"/>
    <w:rPr>
      <w:rFonts w:ascii="Arial" w:eastAsia="Times New Roman" w:hAnsi="Arial"/>
      <w:lang w:val="en-GB" w:eastAsia="en-GB" w:bidi="ar-SA"/>
    </w:rPr>
  </w:style>
  <w:style w:type="paragraph" w:customStyle="1" w:styleId="EFRAGfootnote">
    <w:name w:val="EFRAG footnote"/>
    <w:basedOn w:val="FootnoteText"/>
    <w:link w:val="EFRAGfootnoteChar"/>
    <w:qFormat/>
    <w:rsid w:val="00C4310D"/>
    <w:pPr>
      <w:spacing w:after="0"/>
      <w:contextualSpacing/>
    </w:pPr>
    <w:rPr>
      <w:sz w:val="16"/>
      <w:szCs w:val="16"/>
    </w:rPr>
  </w:style>
  <w:style w:type="character" w:customStyle="1" w:styleId="EFRAGfootnoteChar">
    <w:name w:val="EFRAG footnote Char"/>
    <w:basedOn w:val="FootnoteTextChar"/>
    <w:link w:val="EFRAGfootnote"/>
    <w:rsid w:val="00C4310D"/>
    <w:rPr>
      <w:rFonts w:ascii="Arial" w:eastAsia="Times New Roman" w:hAnsi="Arial"/>
      <w:sz w:val="16"/>
      <w:szCs w:val="16"/>
      <w:lang w:val="en-GB" w:eastAsia="en-GB" w:bidi="ar-SA"/>
    </w:rPr>
  </w:style>
  <w:style w:type="paragraph" w:customStyle="1" w:styleId="EFRAGnormal">
    <w:name w:val="EFRAG normal"/>
    <w:basedOn w:val="Normal"/>
    <w:link w:val="EFRAGnormalChar"/>
    <w:qFormat/>
    <w:rsid w:val="00C4310D"/>
    <w:pPr>
      <w:tabs>
        <w:tab w:val="clear" w:pos="567"/>
        <w:tab w:val="left" w:pos="562"/>
      </w:tabs>
      <w:ind w:left="567" w:hanging="567"/>
    </w:pPr>
    <w:rPr>
      <w:szCs w:val="22"/>
    </w:rPr>
  </w:style>
  <w:style w:type="character" w:customStyle="1" w:styleId="EFRAGnormalChar">
    <w:name w:val="EFRAG normal Char"/>
    <w:link w:val="EFRAGnormal"/>
    <w:rsid w:val="00C4310D"/>
    <w:rPr>
      <w:rFonts w:ascii="Arial" w:eastAsia="Times New Roman" w:hAnsi="Arial"/>
      <w:sz w:val="22"/>
      <w:szCs w:val="22"/>
      <w:lang w:val="en-GB" w:eastAsia="en-GB" w:bidi="ar-SA"/>
    </w:rPr>
  </w:style>
  <w:style w:type="numbering" w:customStyle="1" w:styleId="EFRAGNumbering">
    <w:name w:val="EFRAG Numbering"/>
    <w:uiPriority w:val="99"/>
    <w:rsid w:val="00C4310D"/>
    <w:pPr>
      <w:numPr>
        <w:numId w:val="3"/>
      </w:numPr>
    </w:pPr>
  </w:style>
  <w:style w:type="paragraph" w:customStyle="1" w:styleId="EmphasisBox">
    <w:name w:val="Emphasis Box"/>
    <w:basedOn w:val="Normal"/>
    <w:link w:val="EmphasisBoxChar"/>
    <w:qFormat/>
    <w:rsid w:val="00C4310D"/>
    <w:pPr>
      <w:spacing w:before="60" w:after="60"/>
    </w:pPr>
    <w:rPr>
      <w:rFonts w:cs="Arial"/>
      <w:b/>
      <w:kern w:val="32"/>
      <w:szCs w:val="28"/>
      <w:lang w:eastAsia="en-US"/>
    </w:rPr>
  </w:style>
  <w:style w:type="character" w:customStyle="1" w:styleId="EmphasisBoxChar">
    <w:name w:val="Emphasis Box Char"/>
    <w:basedOn w:val="Heading2Char"/>
    <w:link w:val="EmphasisBox"/>
    <w:rsid w:val="00C4310D"/>
    <w:rPr>
      <w:rFonts w:ascii="Arial" w:eastAsia="Times New Roman" w:hAnsi="Arial" w:cs="Arial"/>
      <w:b/>
      <w:bCs w:val="0"/>
      <w:iCs w:val="0"/>
      <w:kern w:val="32"/>
      <w:sz w:val="22"/>
      <w:szCs w:val="28"/>
      <w:lang w:val="en-GB" w:eastAsia="en-US" w:bidi="ar-SA"/>
    </w:rPr>
  </w:style>
  <w:style w:type="paragraph" w:customStyle="1" w:styleId="Footerleft">
    <w:name w:val="Footer left"/>
    <w:basedOn w:val="Footer"/>
    <w:link w:val="FooterleftChar"/>
    <w:qFormat/>
    <w:rsid w:val="003D452A"/>
    <w:pPr>
      <w:spacing w:before="120" w:after="120"/>
      <w:jc w:val="left"/>
    </w:pPr>
  </w:style>
  <w:style w:type="character" w:customStyle="1" w:styleId="FooterleftChar">
    <w:name w:val="Footer left Char"/>
    <w:basedOn w:val="FooterChar"/>
    <w:link w:val="Footerleft"/>
    <w:rsid w:val="003D452A"/>
    <w:rPr>
      <w:rFonts w:ascii="Arial" w:eastAsia="Times New Roman" w:hAnsi="Arial"/>
      <w:i/>
      <w:sz w:val="22"/>
      <w:lang w:val="en-GB" w:eastAsia="en-GB" w:bidi="ar-SA"/>
    </w:rPr>
  </w:style>
  <w:style w:type="paragraph" w:customStyle="1" w:styleId="Footerright">
    <w:name w:val="Footer right"/>
    <w:basedOn w:val="Footer"/>
    <w:link w:val="FooterrightChar"/>
    <w:qFormat/>
    <w:rsid w:val="003D452A"/>
    <w:pPr>
      <w:spacing w:before="120" w:after="120"/>
      <w:jc w:val="right"/>
    </w:pPr>
  </w:style>
  <w:style w:type="character" w:customStyle="1" w:styleId="Heading2Char">
    <w:name w:val="Heading 2 Char"/>
    <w:basedOn w:val="DefaultParagraphFont"/>
    <w:link w:val="Heading2"/>
    <w:rsid w:val="00C4310D"/>
    <w:rPr>
      <w:rFonts w:ascii="Arial" w:eastAsia="Times New Roman" w:hAnsi="Arial" w:cs="Arial"/>
      <w:b/>
      <w:bCs/>
      <w:iCs/>
      <w:kern w:val="32"/>
      <w:sz w:val="22"/>
      <w:szCs w:val="28"/>
      <w:lang w:val="en-GB" w:eastAsia="en-US" w:bidi="ar-SA"/>
    </w:rPr>
  </w:style>
  <w:style w:type="character" w:customStyle="1" w:styleId="FooterrightChar">
    <w:name w:val="Footer right Char"/>
    <w:basedOn w:val="FooterChar"/>
    <w:link w:val="Footerright"/>
    <w:rsid w:val="003D452A"/>
    <w:rPr>
      <w:rFonts w:ascii="Arial" w:eastAsia="Times New Roman" w:hAnsi="Arial"/>
      <w:i/>
      <w:sz w:val="22"/>
      <w:lang w:val="en-GB" w:eastAsia="en-GB" w:bidi="ar-SA"/>
    </w:rPr>
  </w:style>
  <w:style w:type="character" w:styleId="FootnoteReference">
    <w:name w:val="footnote reference"/>
    <w:rsid w:val="00C4310D"/>
    <w:rPr>
      <w:vertAlign w:val="superscript"/>
    </w:rPr>
  </w:style>
  <w:style w:type="paragraph" w:styleId="Header">
    <w:name w:val="header"/>
    <w:basedOn w:val="Normal"/>
    <w:link w:val="HeaderChar"/>
    <w:uiPriority w:val="99"/>
    <w:rsid w:val="00C4310D"/>
    <w:pPr>
      <w:tabs>
        <w:tab w:val="right" w:pos="2835"/>
      </w:tabs>
      <w:spacing w:before="0" w:after="0"/>
      <w:contextualSpacing/>
      <w:jc w:val="right"/>
    </w:pPr>
    <w:rPr>
      <w:b/>
    </w:rPr>
  </w:style>
  <w:style w:type="character" w:customStyle="1" w:styleId="HeaderChar">
    <w:name w:val="Header Char"/>
    <w:link w:val="Header"/>
    <w:uiPriority w:val="99"/>
    <w:rsid w:val="00C4310D"/>
    <w:rPr>
      <w:rFonts w:ascii="Arial" w:eastAsia="Times New Roman" w:hAnsi="Arial"/>
      <w:b/>
      <w:sz w:val="22"/>
      <w:lang w:val="en-GB" w:eastAsia="en-GB" w:bidi="ar-SA"/>
    </w:rPr>
  </w:style>
  <w:style w:type="paragraph" w:customStyle="1" w:styleId="Header-Appendix">
    <w:name w:val="Header - Appendix"/>
    <w:basedOn w:val="Footer"/>
    <w:link w:val="Header-AppendixChar"/>
    <w:uiPriority w:val="4"/>
    <w:rsid w:val="00C4310D"/>
    <w:pPr>
      <w:spacing w:after="240"/>
    </w:pPr>
  </w:style>
  <w:style w:type="character" w:customStyle="1" w:styleId="Header-AppendixChar">
    <w:name w:val="Header - Appendix Char"/>
    <w:basedOn w:val="FooterChar"/>
    <w:link w:val="Header-Appendix"/>
    <w:uiPriority w:val="4"/>
    <w:rsid w:val="00C4310D"/>
    <w:rPr>
      <w:rFonts w:ascii="Arial" w:eastAsia="Times New Roman" w:hAnsi="Arial"/>
      <w:i/>
      <w:sz w:val="22"/>
      <w:lang w:val="en-GB" w:eastAsia="en-GB" w:bidi="ar-SA"/>
    </w:rPr>
  </w:style>
  <w:style w:type="paragraph" w:customStyle="1" w:styleId="Header-FrontPage">
    <w:name w:val="Header - Front Page"/>
    <w:basedOn w:val="Header"/>
    <w:link w:val="Header-FrontPageChar"/>
    <w:uiPriority w:val="4"/>
    <w:rsid w:val="00C4310D"/>
  </w:style>
  <w:style w:type="character" w:customStyle="1" w:styleId="Heading3Char">
    <w:name w:val="Heading 3 Char"/>
    <w:basedOn w:val="DefaultParagraphFont"/>
    <w:link w:val="Heading3"/>
    <w:rsid w:val="006F1592"/>
    <w:rPr>
      <w:rFonts w:ascii="Arial" w:eastAsia="Times New Roman" w:hAnsi="Arial" w:cs="Arial"/>
      <w:bCs/>
      <w:i/>
      <w:iCs/>
      <w:kern w:val="32"/>
      <w:sz w:val="22"/>
      <w:szCs w:val="28"/>
      <w:lang w:val="en-GB" w:eastAsia="en-US" w:bidi="ar-SA"/>
    </w:rPr>
  </w:style>
  <w:style w:type="character" w:customStyle="1" w:styleId="Header-FrontPageChar">
    <w:name w:val="Header - Front Page Char"/>
    <w:basedOn w:val="HeaderChar"/>
    <w:link w:val="Header-FrontPage"/>
    <w:uiPriority w:val="4"/>
    <w:rsid w:val="00C4310D"/>
    <w:rPr>
      <w:rFonts w:ascii="Arial" w:eastAsia="Times New Roman" w:hAnsi="Arial"/>
      <w:b/>
      <w:sz w:val="22"/>
      <w:lang w:val="en-GB" w:eastAsia="en-GB" w:bidi="ar-SA"/>
    </w:rPr>
  </w:style>
  <w:style w:type="character" w:styleId="Hyperlink">
    <w:name w:val="Hyperlink"/>
    <w:uiPriority w:val="99"/>
    <w:rsid w:val="00C4310D"/>
    <w:rPr>
      <w:color w:val="0000FF"/>
      <w:u w:val="single"/>
    </w:rPr>
  </w:style>
  <w:style w:type="paragraph" w:styleId="Revision">
    <w:name w:val="Revision"/>
    <w:hidden/>
    <w:uiPriority w:val="99"/>
    <w:semiHidden/>
    <w:rsid w:val="00CB01D6"/>
    <w:rPr>
      <w:sz w:val="22"/>
      <w:szCs w:val="22"/>
      <w:lang w:val="en-GB" w:eastAsia="en-US" w:bidi="ar-SA"/>
    </w:rPr>
  </w:style>
  <w:style w:type="paragraph" w:styleId="ListParagraph">
    <w:name w:val="List Paragraph"/>
    <w:basedOn w:val="Normal"/>
    <w:uiPriority w:val="34"/>
    <w:rsid w:val="00C4310D"/>
    <w:pPr>
      <w:ind w:left="1134" w:hanging="567"/>
      <w:contextualSpacing/>
    </w:pPr>
  </w:style>
  <w:style w:type="paragraph" w:customStyle="1" w:styleId="Normalnumberedlevel1">
    <w:name w:val="Normal numbered level 1"/>
    <w:basedOn w:val="Normal"/>
    <w:link w:val="Normalnumberedlevel1Char"/>
    <w:uiPriority w:val="99"/>
    <w:qFormat/>
    <w:rsid w:val="00C4310D"/>
    <w:pPr>
      <w:numPr>
        <w:numId w:val="4"/>
      </w:numPr>
      <w:jc w:val="both"/>
    </w:pPr>
    <w:rPr>
      <w:rFonts w:cs="Arial"/>
      <w:szCs w:val="22"/>
      <w:lang w:eastAsia="en-US"/>
    </w:rPr>
  </w:style>
  <w:style w:type="character" w:customStyle="1" w:styleId="Normalnumberedlevel1Char">
    <w:name w:val="Normal numbered level 1 Char"/>
    <w:link w:val="Normalnumberedlevel1"/>
    <w:uiPriority w:val="99"/>
    <w:rsid w:val="00C4310D"/>
    <w:rPr>
      <w:rFonts w:ascii="Arial" w:eastAsia="Times New Roman" w:hAnsi="Arial" w:cs="Arial"/>
      <w:sz w:val="22"/>
      <w:szCs w:val="22"/>
      <w:lang w:val="en-GB" w:eastAsia="en-US" w:bidi="ar-SA"/>
    </w:rPr>
  </w:style>
  <w:style w:type="paragraph" w:customStyle="1" w:styleId="Normalnumberedlevel2">
    <w:name w:val="Normal numbered level 2"/>
    <w:basedOn w:val="Normalnumberedlevel1"/>
    <w:link w:val="Normalnumberedlevel2Char"/>
    <w:uiPriority w:val="99"/>
    <w:qFormat/>
    <w:rsid w:val="00C4310D"/>
    <w:pPr>
      <w:numPr>
        <w:ilvl w:val="1"/>
      </w:numPr>
    </w:pPr>
  </w:style>
  <w:style w:type="character" w:customStyle="1" w:styleId="Normalnumberedlevel2Char">
    <w:name w:val="Normal numbered level 2 Char"/>
    <w:link w:val="Normalnumberedlevel2"/>
    <w:uiPriority w:val="99"/>
    <w:rsid w:val="00C4310D"/>
    <w:rPr>
      <w:rFonts w:ascii="Arial" w:eastAsia="Times New Roman" w:hAnsi="Arial" w:cs="Arial"/>
      <w:sz w:val="22"/>
      <w:szCs w:val="22"/>
      <w:lang w:val="en-GB" w:eastAsia="en-US" w:bidi="ar-SA"/>
    </w:rPr>
  </w:style>
  <w:style w:type="paragraph" w:customStyle="1" w:styleId="Normalnumberedlevel3">
    <w:name w:val="Normal numbered level 3"/>
    <w:basedOn w:val="Normalnumberedlevel2"/>
    <w:link w:val="Normalnumberedlevel3Char"/>
    <w:qFormat/>
    <w:rsid w:val="00C4310D"/>
    <w:pPr>
      <w:numPr>
        <w:ilvl w:val="2"/>
      </w:numPr>
    </w:pPr>
    <w:rPr>
      <w:lang w:eastAsia="en-GB"/>
    </w:rPr>
  </w:style>
  <w:style w:type="character" w:customStyle="1" w:styleId="Normalnumberedlevel3Char">
    <w:name w:val="Normal numbered level 3 Char"/>
    <w:link w:val="Normalnumberedlevel3"/>
    <w:rsid w:val="00C4310D"/>
    <w:rPr>
      <w:rFonts w:ascii="Arial" w:eastAsia="Times New Roman" w:hAnsi="Arial" w:cs="Arial"/>
      <w:sz w:val="22"/>
      <w:szCs w:val="22"/>
      <w:lang w:val="en-GB" w:eastAsia="en-GB" w:bidi="ar-SA"/>
    </w:rPr>
  </w:style>
  <w:style w:type="paragraph" w:customStyle="1" w:styleId="Para">
    <w:name w:val="Para"/>
    <w:basedOn w:val="Normal"/>
    <w:uiPriority w:val="99"/>
    <w:rsid w:val="00C4310D"/>
    <w:pPr>
      <w:widowControl w:val="0"/>
      <w:numPr>
        <w:ilvl w:val="1"/>
        <w:numId w:val="6"/>
      </w:numPr>
      <w:wordWrap w:val="0"/>
      <w:autoSpaceDE w:val="0"/>
      <w:autoSpaceDN w:val="0"/>
      <w:spacing w:after="180"/>
    </w:pPr>
    <w:rPr>
      <w:rFonts w:eastAsia="Batang" w:cs="Arial"/>
      <w:kern w:val="2"/>
      <w:szCs w:val="22"/>
      <w:lang w:eastAsia="ko-KR"/>
    </w:rPr>
  </w:style>
  <w:style w:type="paragraph" w:styleId="PlainText">
    <w:name w:val="Plain Text"/>
    <w:basedOn w:val="Normal"/>
    <w:link w:val="PlainTextChar"/>
    <w:uiPriority w:val="99"/>
    <w:unhideWhenUsed/>
    <w:rsid w:val="00C4310D"/>
    <w:rPr>
      <w:rFonts w:ascii="Consolas" w:eastAsia="Calibri" w:hAnsi="Consolas"/>
      <w:sz w:val="21"/>
      <w:szCs w:val="21"/>
    </w:rPr>
  </w:style>
  <w:style w:type="character" w:customStyle="1" w:styleId="PlainTextChar">
    <w:name w:val="Plain Text Char"/>
    <w:link w:val="PlainText"/>
    <w:uiPriority w:val="99"/>
    <w:rsid w:val="00C4310D"/>
    <w:rPr>
      <w:rFonts w:ascii="Consolas" w:hAnsi="Consolas"/>
      <w:sz w:val="21"/>
      <w:szCs w:val="21"/>
      <w:lang w:val="en-GB" w:eastAsia="en-GB" w:bidi="ar-SA"/>
    </w:rPr>
  </w:style>
  <w:style w:type="numbering" w:customStyle="1" w:styleId="QuestionBoxNumbering">
    <w:name w:val="Question Box Numbering"/>
    <w:uiPriority w:val="99"/>
    <w:rsid w:val="00C4310D"/>
    <w:pPr>
      <w:numPr>
        <w:numId w:val="7"/>
      </w:numPr>
    </w:pPr>
  </w:style>
  <w:style w:type="paragraph" w:styleId="Quote">
    <w:name w:val="Quote"/>
    <w:basedOn w:val="Normal"/>
    <w:link w:val="QuoteChar"/>
    <w:uiPriority w:val="29"/>
    <w:rsid w:val="00C4310D"/>
    <w:pPr>
      <w:keepNext/>
      <w:keepLines/>
      <w:ind w:left="567"/>
      <w:contextualSpacing/>
      <w:jc w:val="both"/>
    </w:pPr>
    <w:rPr>
      <w:i/>
      <w:iCs/>
    </w:rPr>
  </w:style>
  <w:style w:type="character" w:customStyle="1" w:styleId="QuoteChar">
    <w:name w:val="Quote Char"/>
    <w:basedOn w:val="DefaultParagraphFont"/>
    <w:link w:val="Quote"/>
    <w:uiPriority w:val="29"/>
    <w:rsid w:val="00C4310D"/>
    <w:rPr>
      <w:rFonts w:ascii="Arial" w:eastAsia="Times New Roman" w:hAnsi="Arial"/>
      <w:i/>
      <w:iCs/>
      <w:sz w:val="22"/>
      <w:lang w:val="en-GB" w:eastAsia="en-GB" w:bidi="ar-SA"/>
    </w:rPr>
  </w:style>
  <w:style w:type="paragraph" w:customStyle="1" w:styleId="Quoted">
    <w:name w:val="Quoted"/>
    <w:basedOn w:val="Quote"/>
    <w:next w:val="Normalnumberedlevel1"/>
    <w:link w:val="QuotedChar"/>
    <w:rsid w:val="00C4310D"/>
    <w:pPr>
      <w:jc w:val="right"/>
    </w:pPr>
    <w:rPr>
      <w:i w:val="0"/>
      <w:sz w:val="18"/>
    </w:rPr>
  </w:style>
  <w:style w:type="character" w:customStyle="1" w:styleId="QuotedChar">
    <w:name w:val="Quoted Char"/>
    <w:basedOn w:val="QuoteChar"/>
    <w:link w:val="Quoted"/>
    <w:rsid w:val="00C4310D"/>
    <w:rPr>
      <w:rFonts w:ascii="Arial" w:eastAsia="Times New Roman" w:hAnsi="Arial"/>
      <w:i w:val="0"/>
      <w:iCs/>
      <w:sz w:val="18"/>
      <w:lang w:val="en-GB" w:eastAsia="en-GB" w:bidi="ar-SA"/>
    </w:rPr>
  </w:style>
  <w:style w:type="numbering" w:customStyle="1" w:styleId="Style1">
    <w:name w:val="Style1"/>
    <w:uiPriority w:val="99"/>
    <w:rsid w:val="00C4310D"/>
    <w:pPr>
      <w:numPr>
        <w:numId w:val="8"/>
      </w:numPr>
    </w:pPr>
  </w:style>
  <w:style w:type="table" w:styleId="TableGrid">
    <w:name w:val="Table Grid"/>
    <w:basedOn w:val="TableNormal"/>
    <w:rsid w:val="00C4310D"/>
    <w:rPr>
      <w:rFonts w:ascii="Times New Roman" w:eastAsia="Times New Roman" w:hAnsi="Times New Roman"/>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7">
    <w:name w:val="Table List 7"/>
    <w:basedOn w:val="TableNormal"/>
    <w:rsid w:val="00C4310D"/>
    <w:rPr>
      <w:rFonts w:ascii="Times New Roman" w:eastAsia="Times New Roman" w:hAnsi="Times New Roman"/>
      <w:lang w:val="en-GB" w:eastAsia="en-GB"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Text">
    <w:name w:val="Table Text"/>
    <w:basedOn w:val="Bodyparagraph"/>
    <w:rsid w:val="00C4310D"/>
    <w:pPr>
      <w:spacing w:before="0" w:after="0"/>
      <w:contextualSpacing/>
    </w:pPr>
  </w:style>
  <w:style w:type="paragraph" w:styleId="TOCHeading">
    <w:name w:val="TOC Heading"/>
    <w:basedOn w:val="Heading2"/>
    <w:next w:val="Normal"/>
    <w:uiPriority w:val="39"/>
    <w:unhideWhenUsed/>
    <w:rsid w:val="00C4310D"/>
    <w:pPr>
      <w:outlineLvl w:val="9"/>
    </w:pPr>
    <w:rPr>
      <w:rFonts w:eastAsiaTheme="majorEastAsia"/>
      <w:bCs w:val="0"/>
      <w:kern w:val="0"/>
      <w:szCs w:val="22"/>
    </w:rPr>
  </w:style>
  <w:style w:type="character" w:styleId="Emphasis">
    <w:name w:val="Emphasis"/>
    <w:basedOn w:val="DefaultParagraphFont"/>
    <w:uiPriority w:val="20"/>
    <w:rsid w:val="00563798"/>
    <w:rPr>
      <w:i/>
      <w:iCs/>
    </w:rPr>
  </w:style>
  <w:style w:type="character" w:customStyle="1" w:styleId="Heading4Char">
    <w:name w:val="Heading 4 Char"/>
    <w:basedOn w:val="DefaultParagraphFont"/>
    <w:link w:val="Heading4"/>
    <w:rsid w:val="006F1592"/>
    <w:rPr>
      <w:rFonts w:ascii="Arial" w:eastAsia="Times New Roman" w:hAnsi="Arial" w:cs="Arial"/>
      <w:i/>
      <w:iCs/>
      <w:kern w:val="32"/>
      <w:sz w:val="22"/>
      <w:szCs w:val="28"/>
      <w:lang w:val="en-GB" w:eastAsia="en-US" w:bidi="ar-SA"/>
    </w:rPr>
  </w:style>
  <w:style w:type="character" w:customStyle="1" w:styleId="Heading5Char">
    <w:name w:val="Heading 5 Char"/>
    <w:basedOn w:val="DefaultParagraphFont"/>
    <w:link w:val="Heading5"/>
    <w:rsid w:val="006F1592"/>
    <w:rPr>
      <w:rFonts w:ascii="Arial" w:eastAsiaTheme="minorEastAsia" w:hAnsi="Arial" w:cs="Arial"/>
      <w:bCs/>
      <w:kern w:val="32"/>
      <w:sz w:val="22"/>
      <w:szCs w:val="22"/>
      <w:u w:val="single"/>
      <w:lang w:val="en-GB" w:eastAsia="en-US" w:bidi="ar-SA"/>
    </w:rPr>
  </w:style>
  <w:style w:type="character" w:customStyle="1" w:styleId="Heading6Char">
    <w:name w:val="Heading 6 Char"/>
    <w:basedOn w:val="DefaultParagraphFont"/>
    <w:link w:val="Heading6"/>
    <w:rsid w:val="00C4310D"/>
    <w:rPr>
      <w:rFonts w:ascii="Arial" w:eastAsiaTheme="minorEastAsia" w:hAnsi="Arial" w:cs="Arial"/>
      <w:i/>
      <w:kern w:val="32"/>
      <w:szCs w:val="22"/>
      <w:u w:val="single"/>
      <w:lang w:val="en-GB" w:eastAsia="en-US" w:bidi="ar-SA"/>
    </w:rPr>
  </w:style>
  <w:style w:type="character" w:customStyle="1" w:styleId="Heading7Char">
    <w:name w:val="Heading 7 Char"/>
    <w:basedOn w:val="DefaultParagraphFont"/>
    <w:link w:val="Heading7"/>
    <w:uiPriority w:val="9"/>
    <w:rsid w:val="00C4310D"/>
    <w:rPr>
      <w:rFonts w:ascii="Arial" w:eastAsiaTheme="minorEastAsia" w:hAnsi="Arial" w:cs="Arial"/>
      <w:smallCaps/>
      <w:kern w:val="32"/>
      <w:szCs w:val="22"/>
      <w:lang w:val="en-GB" w:eastAsia="en-US" w:bidi="ar-SA"/>
    </w:rPr>
  </w:style>
  <w:style w:type="character" w:customStyle="1" w:styleId="Heading8Char">
    <w:name w:val="Heading 8 Char"/>
    <w:basedOn w:val="DefaultParagraphFont"/>
    <w:link w:val="Heading8"/>
    <w:uiPriority w:val="9"/>
    <w:rsid w:val="00C4310D"/>
    <w:rPr>
      <w:rFonts w:ascii="Arial" w:eastAsiaTheme="minorEastAsia" w:hAnsi="Arial" w:cs="Arial"/>
      <w:caps/>
      <w:smallCaps/>
      <w:spacing w:val="10"/>
      <w:kern w:val="32"/>
      <w:sz w:val="18"/>
      <w:szCs w:val="18"/>
      <w:lang w:val="en-GB" w:eastAsia="en-US" w:bidi="ar-SA"/>
    </w:rPr>
  </w:style>
  <w:style w:type="character" w:customStyle="1" w:styleId="Heading9Char">
    <w:name w:val="Heading 9 Char"/>
    <w:basedOn w:val="DefaultParagraphFont"/>
    <w:link w:val="Heading9"/>
    <w:semiHidden/>
    <w:rsid w:val="00C4310D"/>
    <w:rPr>
      <w:rFonts w:asciiTheme="majorHAnsi" w:eastAsiaTheme="majorEastAsia" w:hAnsiTheme="majorHAnsi" w:cstheme="majorBidi"/>
      <w:sz w:val="22"/>
      <w:szCs w:val="22"/>
      <w:lang w:val="en-GB" w:eastAsia="en-US" w:bidi="ar-SA"/>
    </w:rPr>
  </w:style>
  <w:style w:type="paragraph" w:customStyle="1" w:styleId="Noteslevel1">
    <w:name w:val="Notes level 1"/>
    <w:basedOn w:val="Normalnumberedlevel1"/>
    <w:rsid w:val="00C4310D"/>
    <w:rPr>
      <w:i/>
    </w:rPr>
  </w:style>
  <w:style w:type="paragraph" w:customStyle="1" w:styleId="Noteslevel2">
    <w:name w:val="Notes level 2"/>
    <w:basedOn w:val="Normalnumberedlevel2"/>
    <w:rsid w:val="00C4310D"/>
    <w:rPr>
      <w:i/>
    </w:rPr>
  </w:style>
  <w:style w:type="paragraph" w:customStyle="1" w:styleId="Noteslevel3">
    <w:name w:val="Notes level 3"/>
    <w:basedOn w:val="Normalnumberedlevel3"/>
    <w:rsid w:val="00C4310D"/>
    <w:rPr>
      <w:i/>
    </w:rPr>
  </w:style>
  <w:style w:type="paragraph" w:customStyle="1" w:styleId="Questionboxlevel1">
    <w:name w:val="Question box level 1"/>
    <w:basedOn w:val="Normalnumberedlevel1"/>
    <w:link w:val="Questionboxlevel1Char"/>
    <w:rsid w:val="00C4310D"/>
    <w:pPr>
      <w:framePr w:wrap="around" w:vAnchor="text" w:hAnchor="text" w:y="1"/>
      <w:numPr>
        <w:numId w:val="7"/>
      </w:numPr>
    </w:pPr>
  </w:style>
  <w:style w:type="character" w:customStyle="1" w:styleId="Questionboxlevel1Char">
    <w:name w:val="Question box level 1 Char"/>
    <w:link w:val="Questionboxlevel1"/>
    <w:rsid w:val="00C4310D"/>
    <w:rPr>
      <w:rFonts w:ascii="Arial" w:eastAsia="Times New Roman" w:hAnsi="Arial" w:cs="Arial"/>
      <w:sz w:val="22"/>
      <w:szCs w:val="22"/>
      <w:lang w:val="en-GB" w:eastAsia="en-US" w:bidi="ar-SA"/>
    </w:rPr>
  </w:style>
  <w:style w:type="paragraph" w:customStyle="1" w:styleId="Questionboxlevel2">
    <w:name w:val="Question box level 2"/>
    <w:basedOn w:val="Questionboxlevel1"/>
    <w:link w:val="Questionboxlevel2Char"/>
    <w:rsid w:val="00C4310D"/>
    <w:pPr>
      <w:framePr w:wrap="around"/>
      <w:numPr>
        <w:ilvl w:val="1"/>
      </w:numPr>
    </w:pPr>
  </w:style>
  <w:style w:type="character" w:customStyle="1" w:styleId="Questionboxlevel2Char">
    <w:name w:val="Question box level 2 Char"/>
    <w:link w:val="Questionboxlevel2"/>
    <w:rsid w:val="00C4310D"/>
    <w:rPr>
      <w:rFonts w:ascii="Arial" w:eastAsia="Times New Roman" w:hAnsi="Arial" w:cs="Arial"/>
      <w:sz w:val="22"/>
      <w:szCs w:val="22"/>
      <w:lang w:val="en-GB" w:eastAsia="en-US" w:bidi="ar-SA"/>
    </w:rPr>
  </w:style>
  <w:style w:type="paragraph" w:customStyle="1" w:styleId="Questionboxlevel3">
    <w:name w:val="Question box level 3"/>
    <w:basedOn w:val="Questionboxlevel2"/>
    <w:rsid w:val="00C4310D"/>
    <w:pPr>
      <w:framePr w:wrap="around"/>
      <w:numPr>
        <w:ilvl w:val="2"/>
      </w:numPr>
    </w:pPr>
  </w:style>
  <w:style w:type="paragraph" w:customStyle="1" w:styleId="Normalnumbered">
    <w:name w:val="Normal numbered"/>
    <w:basedOn w:val="Normal"/>
    <w:link w:val="NormalnumberedChar"/>
    <w:rsid w:val="00F27F05"/>
    <w:pPr>
      <w:numPr>
        <w:numId w:val="1"/>
      </w:numPr>
      <w:tabs>
        <w:tab w:val="clear" w:pos="567"/>
        <w:tab w:val="left" w:pos="562"/>
      </w:tabs>
      <w:spacing w:before="240" w:after="0"/>
      <w:jc w:val="both"/>
    </w:pPr>
    <w:rPr>
      <w:rFonts w:cs="Arial"/>
      <w:szCs w:val="22"/>
      <w:lang w:eastAsia="en-US"/>
    </w:rPr>
  </w:style>
  <w:style w:type="character" w:customStyle="1" w:styleId="NormalnumberedChar">
    <w:name w:val="Normal numbered Char"/>
    <w:basedOn w:val="DefaultParagraphFont"/>
    <w:link w:val="Normalnumbered"/>
    <w:rsid w:val="00F27F05"/>
    <w:rPr>
      <w:rFonts w:ascii="Arial" w:eastAsia="Times New Roman" w:hAnsi="Arial" w:cs="Arial"/>
      <w:sz w:val="22"/>
      <w:szCs w:val="22"/>
      <w:lang w:val="en-GB" w:eastAsia="en-US" w:bidi="ar-SA"/>
    </w:rPr>
  </w:style>
  <w:style w:type="character" w:styleId="CommentReference">
    <w:name w:val="annotation reference"/>
    <w:basedOn w:val="DefaultParagraphFont"/>
    <w:uiPriority w:val="99"/>
    <w:unhideWhenUsed/>
    <w:rsid w:val="00C4310D"/>
    <w:rPr>
      <w:sz w:val="16"/>
      <w:szCs w:val="16"/>
    </w:rPr>
  </w:style>
  <w:style w:type="paragraph" w:styleId="CommentText">
    <w:name w:val="annotation text"/>
    <w:basedOn w:val="Normal"/>
    <w:link w:val="CommentTextChar"/>
    <w:uiPriority w:val="99"/>
    <w:unhideWhenUsed/>
    <w:rsid w:val="00C4310D"/>
    <w:rPr>
      <w:sz w:val="20"/>
    </w:rPr>
  </w:style>
  <w:style w:type="character" w:customStyle="1" w:styleId="CommentTextChar">
    <w:name w:val="Comment Text Char"/>
    <w:basedOn w:val="DefaultParagraphFont"/>
    <w:link w:val="CommentText"/>
    <w:uiPriority w:val="99"/>
    <w:rsid w:val="00C4310D"/>
    <w:rPr>
      <w:rFonts w:ascii="Arial" w:eastAsia="Times New Roman" w:hAnsi="Arial"/>
      <w:lang w:val="en-GB" w:eastAsia="en-GB" w:bidi="ar-SA"/>
    </w:rPr>
  </w:style>
  <w:style w:type="paragraph" w:styleId="CommentSubject">
    <w:name w:val="annotation subject"/>
    <w:basedOn w:val="CommentText"/>
    <w:next w:val="CommentText"/>
    <w:link w:val="CommentSubjectChar"/>
    <w:uiPriority w:val="99"/>
    <w:semiHidden/>
    <w:unhideWhenUsed/>
    <w:rsid w:val="00C4310D"/>
    <w:rPr>
      <w:b/>
      <w:bCs/>
    </w:rPr>
  </w:style>
  <w:style w:type="character" w:customStyle="1" w:styleId="CommentSubjectChar">
    <w:name w:val="Comment Subject Char"/>
    <w:basedOn w:val="CommentTextChar"/>
    <w:link w:val="CommentSubject"/>
    <w:uiPriority w:val="99"/>
    <w:semiHidden/>
    <w:rsid w:val="00C4310D"/>
    <w:rPr>
      <w:rFonts w:ascii="Arial" w:eastAsia="Times New Roman" w:hAnsi="Arial"/>
      <w:b/>
      <w:bCs/>
      <w:lang w:val="en-GB" w:eastAsia="en-GB" w:bidi="ar-SA"/>
    </w:rPr>
  </w:style>
  <w:style w:type="numbering" w:customStyle="1" w:styleId="EFRAGNumbering1">
    <w:name w:val="EFRAG Numbering1"/>
    <w:uiPriority w:val="99"/>
    <w:rsid w:val="00774789"/>
  </w:style>
  <w:style w:type="paragraph" w:customStyle="1" w:styleId="InformationBox">
    <w:name w:val="Information Box"/>
    <w:basedOn w:val="Normal"/>
    <w:qFormat/>
    <w:rsid w:val="00C4310D"/>
    <w:pPr>
      <w:jc w:val="both"/>
    </w:pPr>
    <w:rPr>
      <w:rFonts w:cs="Arial"/>
      <w:sz w:val="18"/>
      <w:szCs w:val="18"/>
    </w:rPr>
  </w:style>
  <w:style w:type="paragraph" w:customStyle="1" w:styleId="QuestionBoxSubparagraphs">
    <w:name w:val="Question Box Subparagraphs"/>
    <w:basedOn w:val="Normalnumberedlevel2"/>
    <w:uiPriority w:val="99"/>
    <w:rsid w:val="00C4310D"/>
    <w:pPr>
      <w:keepLines/>
      <w:numPr>
        <w:ilvl w:val="0"/>
        <w:numId w:val="0"/>
      </w:numPr>
      <w:tabs>
        <w:tab w:val="clear" w:pos="567"/>
        <w:tab w:val="clear" w:pos="1134"/>
        <w:tab w:val="clear" w:pos="1701"/>
        <w:tab w:val="clear" w:pos="2268"/>
        <w:tab w:val="clear" w:pos="2835"/>
        <w:tab w:val="left" w:pos="562"/>
        <w:tab w:val="left" w:pos="1123"/>
        <w:tab w:val="left" w:pos="1170"/>
      </w:tabs>
      <w:spacing w:before="240" w:after="0"/>
      <w:ind w:left="693" w:hanging="561"/>
    </w:pPr>
    <w:rPr>
      <w:rFonts w:cs="Times New Roman"/>
      <w:b/>
    </w:rPr>
  </w:style>
  <w:style w:type="paragraph" w:customStyle="1" w:styleId="Normaldenumblevel1">
    <w:name w:val="Normal denumb level 1"/>
    <w:basedOn w:val="Normalnumberedlevel1"/>
    <w:rsid w:val="00C4310D"/>
    <w:pPr>
      <w:numPr>
        <w:numId w:val="0"/>
      </w:numPr>
      <w:ind w:left="567"/>
    </w:pPr>
  </w:style>
  <w:style w:type="paragraph" w:customStyle="1" w:styleId="Normaldenumblevel2">
    <w:name w:val="Normal denumb level 2"/>
    <w:basedOn w:val="Normalnumberedlevel2"/>
    <w:rsid w:val="00C4310D"/>
    <w:pPr>
      <w:numPr>
        <w:ilvl w:val="0"/>
        <w:numId w:val="0"/>
      </w:numPr>
      <w:ind w:left="1134"/>
    </w:pPr>
  </w:style>
  <w:style w:type="paragraph" w:customStyle="1" w:styleId="Papertopspecification">
    <w:name w:val="Paper top specification"/>
    <w:basedOn w:val="Normal"/>
    <w:rsid w:val="00C4310D"/>
    <w:rPr>
      <w:caps/>
      <w:spacing w:val="10"/>
      <w:szCs w:val="22"/>
    </w:rPr>
  </w:style>
  <w:style w:type="paragraph" w:styleId="TOC1">
    <w:name w:val="toc 1"/>
    <w:basedOn w:val="Normal"/>
    <w:next w:val="Normal"/>
    <w:autoRedefine/>
    <w:uiPriority w:val="39"/>
    <w:unhideWhenUsed/>
    <w:rsid w:val="00C4310D"/>
    <w:pPr>
      <w:tabs>
        <w:tab w:val="clear" w:pos="567"/>
        <w:tab w:val="clear" w:pos="1134"/>
        <w:tab w:val="clear" w:pos="1701"/>
        <w:tab w:val="clear" w:pos="2268"/>
        <w:tab w:val="clear" w:pos="2835"/>
      </w:tabs>
      <w:spacing w:after="100"/>
    </w:pPr>
    <w:rPr>
      <w:noProof/>
    </w:rPr>
  </w:style>
  <w:style w:type="paragraph" w:styleId="TOC2">
    <w:name w:val="toc 2"/>
    <w:basedOn w:val="Normal"/>
    <w:next w:val="Normal"/>
    <w:autoRedefine/>
    <w:uiPriority w:val="39"/>
    <w:unhideWhenUsed/>
    <w:rsid w:val="00C4310D"/>
    <w:pPr>
      <w:tabs>
        <w:tab w:val="clear" w:pos="567"/>
        <w:tab w:val="clear" w:pos="1134"/>
        <w:tab w:val="clear" w:pos="1701"/>
        <w:tab w:val="clear" w:pos="2268"/>
        <w:tab w:val="clear" w:pos="2835"/>
      </w:tabs>
      <w:spacing w:after="100"/>
      <w:ind w:left="220"/>
    </w:pPr>
  </w:style>
  <w:style w:type="paragraph" w:styleId="TOC3">
    <w:name w:val="toc 3"/>
    <w:basedOn w:val="Normal"/>
    <w:next w:val="Normal"/>
    <w:autoRedefine/>
    <w:uiPriority w:val="39"/>
    <w:unhideWhenUsed/>
    <w:rsid w:val="00C4310D"/>
    <w:pPr>
      <w:tabs>
        <w:tab w:val="clear" w:pos="567"/>
        <w:tab w:val="clear" w:pos="1134"/>
        <w:tab w:val="clear" w:pos="1701"/>
        <w:tab w:val="clear" w:pos="2268"/>
        <w:tab w:val="clear" w:pos="2835"/>
      </w:tabs>
      <w:spacing w:after="100"/>
      <w:ind w:left="440"/>
    </w:pPr>
  </w:style>
  <w:style w:type="paragraph" w:customStyle="1" w:styleId="EmphasisCentredBox">
    <w:name w:val="Emphasis Centred Box"/>
    <w:basedOn w:val="EmphasisBox"/>
    <w:rsid w:val="00C4310D"/>
    <w:pPr>
      <w:jc w:val="center"/>
    </w:pPr>
  </w:style>
  <w:style w:type="paragraph" w:customStyle="1" w:styleId="Boxparagraph">
    <w:name w:val="Box paragraph"/>
    <w:basedOn w:val="Bodyparagraph"/>
    <w:rsid w:val="00C4310D"/>
  </w:style>
  <w:style w:type="character" w:styleId="FollowedHyperlink">
    <w:name w:val="FollowedHyperlink"/>
    <w:basedOn w:val="DefaultParagraphFont"/>
    <w:uiPriority w:val="99"/>
    <w:rsid w:val="00C4310D"/>
    <w:rPr>
      <w:color w:val="800080" w:themeColor="followedHyperlink"/>
      <w:u w:val="single"/>
    </w:rPr>
  </w:style>
  <w:style w:type="table" w:customStyle="1" w:styleId="TableGrid1">
    <w:name w:val="Table Grid1"/>
    <w:basedOn w:val="TableNormal"/>
    <w:next w:val="TableGrid"/>
    <w:rsid w:val="00C4310D"/>
    <w:rPr>
      <w:rFonts w:ascii="Times New Roman" w:eastAsia="Times New Roman" w:hAnsi="Times New Roman"/>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4310D"/>
    <w:rPr>
      <w:rFonts w:ascii="Times New Roman" w:hAnsi="Times New Roman"/>
      <w:sz w:val="24"/>
      <w:lang w:val="x-none" w:eastAsia="x-none"/>
    </w:rPr>
  </w:style>
  <w:style w:type="character" w:customStyle="1" w:styleId="BodyTextChar">
    <w:name w:val="Body Text Char"/>
    <w:link w:val="BodyText"/>
    <w:rsid w:val="00C4310D"/>
    <w:rPr>
      <w:rFonts w:ascii="Times New Roman" w:eastAsia="Times New Roman" w:hAnsi="Times New Roman"/>
      <w:sz w:val="24"/>
      <w:lang w:val="x-none" w:eastAsia="x-none" w:bidi="ar-SA"/>
    </w:rPr>
  </w:style>
  <w:style w:type="paragraph" w:customStyle="1" w:styleId="CentredItalics">
    <w:name w:val="Centred Italics"/>
    <w:basedOn w:val="Centredtext"/>
    <w:link w:val="CentredItalicsChar"/>
    <w:rsid w:val="00C4310D"/>
    <w:pPr>
      <w:ind w:left="567"/>
      <w:contextualSpacing w:val="0"/>
    </w:pPr>
    <w:rPr>
      <w:i/>
    </w:rPr>
  </w:style>
  <w:style w:type="character" w:customStyle="1" w:styleId="CentredItalicsChar">
    <w:name w:val="Centred Italics Char"/>
    <w:link w:val="CentredItalics"/>
    <w:rsid w:val="00C4310D"/>
    <w:rPr>
      <w:rFonts w:ascii="Arial" w:eastAsia="Times New Roman" w:hAnsi="Arial"/>
      <w:i/>
      <w:sz w:val="22"/>
      <w:lang w:val="en-GB" w:eastAsia="en-GB" w:bidi="ar-SA"/>
    </w:rPr>
  </w:style>
  <w:style w:type="paragraph" w:customStyle="1" w:styleId="Centredparagraph">
    <w:name w:val="Centred paragraph"/>
    <w:basedOn w:val="Normal"/>
    <w:link w:val="CentredparagraphChar"/>
    <w:rsid w:val="00C4310D"/>
    <w:pPr>
      <w:keepLines/>
      <w:contextualSpacing/>
      <w:jc w:val="center"/>
    </w:pPr>
  </w:style>
  <w:style w:type="character" w:customStyle="1" w:styleId="CentredparagraphChar">
    <w:name w:val="Centred paragraph Char"/>
    <w:basedOn w:val="DefaultParagraphFont"/>
    <w:link w:val="Centredparagraph"/>
    <w:rsid w:val="00C4310D"/>
    <w:rPr>
      <w:rFonts w:ascii="Arial" w:eastAsia="Times New Roman" w:hAnsi="Arial"/>
      <w:sz w:val="22"/>
      <w:lang w:val="en-GB" w:eastAsia="en-GB" w:bidi="ar-SA"/>
    </w:rPr>
  </w:style>
  <w:style w:type="paragraph" w:customStyle="1" w:styleId="Default">
    <w:name w:val="Default"/>
    <w:rsid w:val="00C4310D"/>
    <w:pPr>
      <w:autoSpaceDE w:val="0"/>
      <w:autoSpaceDN w:val="0"/>
      <w:adjustRightInd w:val="0"/>
    </w:pPr>
    <w:rPr>
      <w:rFonts w:ascii="Arial" w:eastAsia="MS Mincho" w:hAnsi="Arial" w:cs="Arial"/>
      <w:color w:val="000000"/>
      <w:sz w:val="24"/>
      <w:szCs w:val="24"/>
      <w:lang w:val="en-GB" w:eastAsia="ja-JP" w:bidi="ar-SA"/>
    </w:rPr>
  </w:style>
  <w:style w:type="paragraph" w:customStyle="1" w:styleId="Emphasisparagraph">
    <w:name w:val="Emphasis paragraph"/>
    <w:basedOn w:val="Normal"/>
    <w:rsid w:val="00C4310D"/>
    <w:pPr>
      <w:spacing w:before="360"/>
    </w:pPr>
    <w:rPr>
      <w:b/>
      <w:sz w:val="36"/>
      <w:szCs w:val="36"/>
    </w:rPr>
  </w:style>
  <w:style w:type="paragraph" w:customStyle="1" w:styleId="Emphasistitle">
    <w:name w:val="Emphasis title"/>
    <w:basedOn w:val="Heading2"/>
    <w:rsid w:val="00C4310D"/>
    <w:pPr>
      <w:outlineLvl w:val="9"/>
    </w:pPr>
    <w:rPr>
      <w:sz w:val="56"/>
      <w:szCs w:val="56"/>
    </w:rPr>
  </w:style>
  <w:style w:type="character" w:styleId="EndnoteReference">
    <w:name w:val="endnote reference"/>
    <w:basedOn w:val="DefaultParagraphFont"/>
    <w:uiPriority w:val="99"/>
    <w:semiHidden/>
    <w:unhideWhenUsed/>
    <w:rsid w:val="00C4310D"/>
    <w:rPr>
      <w:vertAlign w:val="superscript"/>
    </w:rPr>
  </w:style>
  <w:style w:type="paragraph" w:styleId="EndnoteText">
    <w:name w:val="endnote text"/>
    <w:basedOn w:val="Normal"/>
    <w:link w:val="EndnoteTextChar"/>
    <w:uiPriority w:val="99"/>
    <w:semiHidden/>
    <w:unhideWhenUsed/>
    <w:rsid w:val="00C4310D"/>
    <w:pPr>
      <w:spacing w:before="0" w:after="0"/>
    </w:pPr>
    <w:rPr>
      <w:sz w:val="20"/>
    </w:rPr>
  </w:style>
  <w:style w:type="character" w:customStyle="1" w:styleId="EndnoteTextChar">
    <w:name w:val="Endnote Text Char"/>
    <w:basedOn w:val="DefaultParagraphFont"/>
    <w:link w:val="EndnoteText"/>
    <w:uiPriority w:val="99"/>
    <w:semiHidden/>
    <w:rsid w:val="00C4310D"/>
    <w:rPr>
      <w:rFonts w:ascii="Arial" w:eastAsia="Times New Roman" w:hAnsi="Arial"/>
      <w:lang w:val="en-GB" w:eastAsia="en-GB" w:bidi="ar-SA"/>
    </w:rPr>
  </w:style>
  <w:style w:type="paragraph" w:customStyle="1" w:styleId="FeedbackTableTitle">
    <w:name w:val="Feedback Table Title"/>
    <w:basedOn w:val="Normal"/>
    <w:rsid w:val="00C4310D"/>
    <w:pPr>
      <w:keepNext/>
    </w:pPr>
    <w:rPr>
      <w:rFonts w:cs="Arial"/>
      <w:b/>
      <w:bCs/>
      <w:color w:val="1F497D"/>
      <w:szCs w:val="22"/>
    </w:rPr>
  </w:style>
  <w:style w:type="paragraph" w:customStyle="1" w:styleId="Header-nextpage">
    <w:name w:val="Header - next page"/>
    <w:basedOn w:val="Header"/>
    <w:qFormat/>
    <w:rsid w:val="003D452A"/>
    <w:pPr>
      <w:spacing w:after="360"/>
      <w:jc w:val="center"/>
    </w:pPr>
    <w:rPr>
      <w:b w:val="0"/>
      <w:i/>
      <w:iCs/>
      <w:szCs w:val="22"/>
    </w:rPr>
  </w:style>
  <w:style w:type="paragraph" w:customStyle="1" w:styleId="Headerright">
    <w:name w:val="Header right"/>
    <w:basedOn w:val="Normal"/>
    <w:qFormat/>
    <w:rsid w:val="00C4310D"/>
    <w:pPr>
      <w:spacing w:before="0" w:after="0"/>
      <w:jc w:val="right"/>
    </w:pPr>
    <w:rPr>
      <w:rFonts w:cs="Arial"/>
      <w:b/>
    </w:rPr>
  </w:style>
  <w:style w:type="paragraph" w:customStyle="1" w:styleId="Heading-Appendix">
    <w:name w:val="Heading - Appendix"/>
    <w:basedOn w:val="Heading1"/>
    <w:link w:val="Heading-AppendixChar"/>
    <w:uiPriority w:val="4"/>
    <w:rsid w:val="00C4310D"/>
    <w:pPr>
      <w:pageBreakBefore/>
      <w:spacing w:after="360"/>
      <w:jc w:val="left"/>
    </w:pPr>
  </w:style>
  <w:style w:type="character" w:customStyle="1" w:styleId="Heading-AppendixChar">
    <w:name w:val="Heading - Appendix Char"/>
    <w:link w:val="Heading-Appendix"/>
    <w:uiPriority w:val="4"/>
    <w:rsid w:val="00C4310D"/>
    <w:rPr>
      <w:rFonts w:ascii="Arial" w:eastAsia="Times New Roman" w:hAnsi="Arial" w:cs="Arial"/>
      <w:b/>
      <w:bCs/>
      <w:kern w:val="32"/>
      <w:sz w:val="28"/>
      <w:szCs w:val="32"/>
      <w:lang w:val="en-GB" w:eastAsia="en-US" w:bidi="ar-SA"/>
    </w:rPr>
  </w:style>
  <w:style w:type="paragraph" w:customStyle="1" w:styleId="Heading-FrontPage">
    <w:name w:val="Heading - Front Page"/>
    <w:basedOn w:val="Heading1"/>
    <w:link w:val="Heading-FrontPageChar"/>
    <w:uiPriority w:val="4"/>
    <w:rsid w:val="00C4310D"/>
    <w:rPr>
      <w:sz w:val="56"/>
      <w:szCs w:val="56"/>
    </w:rPr>
  </w:style>
  <w:style w:type="character" w:customStyle="1" w:styleId="Heading-FrontPageChar">
    <w:name w:val="Heading - Front Page Char"/>
    <w:link w:val="Heading-FrontPage"/>
    <w:uiPriority w:val="4"/>
    <w:rsid w:val="00C4310D"/>
    <w:rPr>
      <w:rFonts w:ascii="Arial" w:eastAsia="Times New Roman" w:hAnsi="Arial" w:cs="Arial"/>
      <w:b/>
      <w:bCs/>
      <w:kern w:val="32"/>
      <w:sz w:val="56"/>
      <w:szCs w:val="56"/>
      <w:lang w:val="en-GB" w:eastAsia="en-US" w:bidi="ar-SA"/>
    </w:rPr>
  </w:style>
  <w:style w:type="paragraph" w:customStyle="1" w:styleId="Heading1-date">
    <w:name w:val="Heading 1 - date"/>
    <w:basedOn w:val="Heading1"/>
    <w:rsid w:val="00C4310D"/>
    <w:pPr>
      <w:pageBreakBefore/>
      <w:jc w:val="left"/>
    </w:pPr>
    <w:rPr>
      <w:sz w:val="22"/>
      <w:szCs w:val="22"/>
    </w:rPr>
  </w:style>
  <w:style w:type="paragraph" w:customStyle="1" w:styleId="Heading1-openclosed">
    <w:name w:val="Heading 1 - open/closed"/>
    <w:basedOn w:val="Heading1-date"/>
    <w:rsid w:val="00C4310D"/>
    <w:pPr>
      <w:pageBreakBefore w:val="0"/>
    </w:pPr>
  </w:style>
  <w:style w:type="paragraph" w:customStyle="1" w:styleId="Heading1-Specialtitle">
    <w:name w:val="Heading 1 - Special title"/>
    <w:basedOn w:val="Heading1"/>
    <w:rsid w:val="00C4310D"/>
    <w:pPr>
      <w:jc w:val="left"/>
    </w:pPr>
    <w:rPr>
      <w:sz w:val="56"/>
      <w:szCs w:val="56"/>
    </w:rPr>
  </w:style>
  <w:style w:type="paragraph" w:customStyle="1" w:styleId="Heading1-title">
    <w:name w:val="Heading 1 - title"/>
    <w:basedOn w:val="Heading1"/>
    <w:rsid w:val="00C4310D"/>
  </w:style>
  <w:style w:type="paragraph" w:customStyle="1" w:styleId="Heading1Appendix">
    <w:name w:val="Heading 1 Appendix"/>
    <w:basedOn w:val="Heading1"/>
    <w:rsid w:val="00C4310D"/>
    <w:pPr>
      <w:jc w:val="left"/>
    </w:pPr>
  </w:style>
  <w:style w:type="paragraph" w:customStyle="1" w:styleId="Issueheading">
    <w:name w:val="Issue heading"/>
    <w:basedOn w:val="Heading2"/>
    <w:rsid w:val="00C4310D"/>
    <w:pPr>
      <w:spacing w:before="120"/>
    </w:pPr>
    <w:rPr>
      <w:bCs w:val="0"/>
      <w:color w:val="004783"/>
      <w:sz w:val="28"/>
    </w:rPr>
  </w:style>
  <w:style w:type="paragraph" w:customStyle="1" w:styleId="Name">
    <w:name w:val="Name"/>
    <w:basedOn w:val="Normal"/>
    <w:next w:val="Normal"/>
    <w:link w:val="NameChar"/>
    <w:rsid w:val="00C4310D"/>
    <w:pPr>
      <w:keepNext/>
    </w:pPr>
    <w:rPr>
      <w:rFonts w:ascii="Times New Roman" w:hAnsi="Times New Roman"/>
      <w:b/>
      <w:sz w:val="24"/>
      <w:lang w:eastAsia="x-none"/>
    </w:rPr>
  </w:style>
  <w:style w:type="character" w:customStyle="1" w:styleId="NameChar">
    <w:name w:val="Name Char"/>
    <w:link w:val="Name"/>
    <w:rsid w:val="00C4310D"/>
    <w:rPr>
      <w:rFonts w:ascii="Times New Roman" w:eastAsia="Times New Roman" w:hAnsi="Times New Roman"/>
      <w:b/>
      <w:sz w:val="24"/>
      <w:lang w:val="en-GB" w:eastAsia="x-none" w:bidi="ar-SA"/>
    </w:rPr>
  </w:style>
  <w:style w:type="paragraph" w:customStyle="1" w:styleId="Numberedheading">
    <w:name w:val="Numbered heading"/>
    <w:basedOn w:val="Heading2"/>
    <w:rsid w:val="00C4310D"/>
    <w:pPr>
      <w:numPr>
        <w:numId w:val="5"/>
      </w:numPr>
      <w:tabs>
        <w:tab w:val="left" w:pos="0"/>
        <w:tab w:val="left" w:pos="567"/>
        <w:tab w:val="left" w:pos="1134"/>
        <w:tab w:val="left" w:pos="1701"/>
      </w:tabs>
    </w:pPr>
  </w:style>
  <w:style w:type="paragraph" w:customStyle="1" w:styleId="OurResponse">
    <w:name w:val="Our Response"/>
    <w:basedOn w:val="Normal"/>
    <w:rsid w:val="00C4310D"/>
    <w:pPr>
      <w:keepNext/>
    </w:pPr>
    <w:rPr>
      <w:rFonts w:cs="Arial"/>
      <w:b/>
      <w:bCs/>
      <w:color w:val="004783"/>
      <w:szCs w:val="22"/>
    </w:rPr>
  </w:style>
  <w:style w:type="paragraph" w:customStyle="1" w:styleId="Presencelist">
    <w:name w:val="Presence list"/>
    <w:basedOn w:val="Normal"/>
    <w:rsid w:val="00C4310D"/>
    <w:pPr>
      <w:spacing w:before="0" w:after="0"/>
    </w:pPr>
    <w:rPr>
      <w:rFonts w:cs="Arial"/>
      <w:szCs w:val="22"/>
    </w:rPr>
  </w:style>
  <w:style w:type="paragraph" w:customStyle="1" w:styleId="Presencelist-group">
    <w:name w:val="Presence list- group"/>
    <w:basedOn w:val="Presencelist"/>
    <w:rsid w:val="00C4310D"/>
    <w:rPr>
      <w:u w:val="single"/>
    </w:rPr>
  </w:style>
  <w:style w:type="paragraph" w:customStyle="1" w:styleId="RespondentsComments">
    <w:name w:val="Respondents Comments"/>
    <w:basedOn w:val="Normal"/>
    <w:rsid w:val="00C4310D"/>
    <w:pPr>
      <w:keepNext/>
    </w:pPr>
    <w:rPr>
      <w:rFonts w:cs="Arial"/>
      <w:b/>
      <w:bCs/>
      <w:color w:val="1F497D"/>
      <w:szCs w:val="22"/>
    </w:rPr>
  </w:style>
  <w:style w:type="paragraph" w:customStyle="1" w:styleId="Tabletitle">
    <w:name w:val="Table title"/>
    <w:basedOn w:val="Normal"/>
    <w:rsid w:val="00C4310D"/>
    <w:pPr>
      <w:keepNext/>
      <w:autoSpaceDE w:val="0"/>
      <w:autoSpaceDN w:val="0"/>
      <w:adjustRightInd w:val="0"/>
      <w:spacing w:before="60" w:after="60"/>
    </w:pPr>
    <w:rPr>
      <w:rFonts w:cs="Arial"/>
      <w:b/>
      <w:i/>
      <w:szCs w:val="22"/>
      <w:lang w:val="en-US"/>
    </w:rPr>
  </w:style>
  <w:style w:type="paragraph" w:customStyle="1" w:styleId="Tabletitlecentred">
    <w:name w:val="Table title centred"/>
    <w:basedOn w:val="Tabletitle"/>
    <w:rsid w:val="00C4310D"/>
    <w:pPr>
      <w:jc w:val="center"/>
    </w:pPr>
  </w:style>
  <w:style w:type="paragraph" w:customStyle="1" w:styleId="Titleofdocument">
    <w:name w:val="Title of document"/>
    <w:basedOn w:val="Normal"/>
    <w:rsid w:val="00C4310D"/>
    <w:pPr>
      <w:jc w:val="center"/>
    </w:pPr>
  </w:style>
  <w:style w:type="character" w:customStyle="1" w:styleId="Titlesmall">
    <w:name w:val="Title small"/>
    <w:uiPriority w:val="1"/>
    <w:rsid w:val="00C4310D"/>
    <w:rPr>
      <w:rFonts w:ascii="Arial" w:hAnsi="Arial"/>
      <w:b w:val="0"/>
      <w:sz w:val="22"/>
      <w:szCs w:val="22"/>
    </w:rPr>
  </w:style>
  <w:style w:type="character" w:customStyle="1" w:styleId="normaltextrun">
    <w:name w:val="normaltextrun"/>
    <w:basedOn w:val="DefaultParagraphFont"/>
    <w:rsid w:val="00E126F4"/>
  </w:style>
  <w:style w:type="character" w:styleId="UnresolvedMention">
    <w:name w:val="Unresolved Mention"/>
    <w:basedOn w:val="DefaultParagraphFont"/>
    <w:uiPriority w:val="99"/>
    <w:semiHidden/>
    <w:unhideWhenUsed/>
    <w:rsid w:val="00CA66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928486">
      <w:bodyDiv w:val="1"/>
      <w:marLeft w:val="0"/>
      <w:marRight w:val="0"/>
      <w:marTop w:val="0"/>
      <w:marBottom w:val="0"/>
      <w:divBdr>
        <w:top w:val="none" w:sz="0" w:space="0" w:color="auto"/>
        <w:left w:val="none" w:sz="0" w:space="0" w:color="auto"/>
        <w:bottom w:val="none" w:sz="0" w:space="0" w:color="auto"/>
        <w:right w:val="none" w:sz="0" w:space="0" w:color="auto"/>
      </w:divBdr>
      <w:divsChild>
        <w:div w:id="264119165">
          <w:marLeft w:val="0"/>
          <w:marRight w:val="0"/>
          <w:marTop w:val="0"/>
          <w:marBottom w:val="0"/>
          <w:divBdr>
            <w:top w:val="none" w:sz="0" w:space="0" w:color="auto"/>
            <w:left w:val="none" w:sz="0" w:space="0" w:color="auto"/>
            <w:bottom w:val="none" w:sz="0" w:space="0" w:color="auto"/>
            <w:right w:val="none" w:sz="0" w:space="0" w:color="auto"/>
          </w:divBdr>
        </w:div>
        <w:div w:id="489176676">
          <w:marLeft w:val="0"/>
          <w:marRight w:val="0"/>
          <w:marTop w:val="0"/>
          <w:marBottom w:val="0"/>
          <w:divBdr>
            <w:top w:val="none" w:sz="0" w:space="0" w:color="auto"/>
            <w:left w:val="none" w:sz="0" w:space="0" w:color="auto"/>
            <w:bottom w:val="none" w:sz="0" w:space="0" w:color="auto"/>
            <w:right w:val="none" w:sz="0" w:space="0" w:color="auto"/>
          </w:divBdr>
        </w:div>
      </w:divsChild>
    </w:div>
    <w:div w:id="243495191">
      <w:bodyDiv w:val="1"/>
      <w:marLeft w:val="0"/>
      <w:marRight w:val="0"/>
      <w:marTop w:val="0"/>
      <w:marBottom w:val="0"/>
      <w:divBdr>
        <w:top w:val="none" w:sz="0" w:space="0" w:color="auto"/>
        <w:left w:val="none" w:sz="0" w:space="0" w:color="auto"/>
        <w:bottom w:val="none" w:sz="0" w:space="0" w:color="auto"/>
        <w:right w:val="none" w:sz="0" w:space="0" w:color="auto"/>
      </w:divBdr>
    </w:div>
    <w:div w:id="337541858">
      <w:bodyDiv w:val="1"/>
      <w:marLeft w:val="0"/>
      <w:marRight w:val="0"/>
      <w:marTop w:val="0"/>
      <w:marBottom w:val="0"/>
      <w:divBdr>
        <w:top w:val="none" w:sz="0" w:space="0" w:color="auto"/>
        <w:left w:val="none" w:sz="0" w:space="0" w:color="auto"/>
        <w:bottom w:val="none" w:sz="0" w:space="0" w:color="auto"/>
        <w:right w:val="none" w:sz="0" w:space="0" w:color="auto"/>
      </w:divBdr>
    </w:div>
    <w:div w:id="390538133">
      <w:bodyDiv w:val="1"/>
      <w:marLeft w:val="0"/>
      <w:marRight w:val="0"/>
      <w:marTop w:val="0"/>
      <w:marBottom w:val="0"/>
      <w:divBdr>
        <w:top w:val="none" w:sz="0" w:space="0" w:color="auto"/>
        <w:left w:val="none" w:sz="0" w:space="0" w:color="auto"/>
        <w:bottom w:val="none" w:sz="0" w:space="0" w:color="auto"/>
        <w:right w:val="none" w:sz="0" w:space="0" w:color="auto"/>
      </w:divBdr>
    </w:div>
    <w:div w:id="523323791">
      <w:bodyDiv w:val="1"/>
      <w:marLeft w:val="0"/>
      <w:marRight w:val="0"/>
      <w:marTop w:val="0"/>
      <w:marBottom w:val="0"/>
      <w:divBdr>
        <w:top w:val="none" w:sz="0" w:space="0" w:color="auto"/>
        <w:left w:val="none" w:sz="0" w:space="0" w:color="auto"/>
        <w:bottom w:val="none" w:sz="0" w:space="0" w:color="auto"/>
        <w:right w:val="none" w:sz="0" w:space="0" w:color="auto"/>
      </w:divBdr>
    </w:div>
    <w:div w:id="698623371">
      <w:bodyDiv w:val="1"/>
      <w:marLeft w:val="0"/>
      <w:marRight w:val="0"/>
      <w:marTop w:val="0"/>
      <w:marBottom w:val="0"/>
      <w:divBdr>
        <w:top w:val="none" w:sz="0" w:space="0" w:color="auto"/>
        <w:left w:val="none" w:sz="0" w:space="0" w:color="auto"/>
        <w:bottom w:val="none" w:sz="0" w:space="0" w:color="auto"/>
        <w:right w:val="none" w:sz="0" w:space="0" w:color="auto"/>
      </w:divBdr>
    </w:div>
    <w:div w:id="704523547">
      <w:bodyDiv w:val="1"/>
      <w:marLeft w:val="0"/>
      <w:marRight w:val="0"/>
      <w:marTop w:val="0"/>
      <w:marBottom w:val="0"/>
      <w:divBdr>
        <w:top w:val="none" w:sz="0" w:space="0" w:color="auto"/>
        <w:left w:val="none" w:sz="0" w:space="0" w:color="auto"/>
        <w:bottom w:val="none" w:sz="0" w:space="0" w:color="auto"/>
        <w:right w:val="none" w:sz="0" w:space="0" w:color="auto"/>
      </w:divBdr>
    </w:div>
    <w:div w:id="715661156">
      <w:bodyDiv w:val="1"/>
      <w:marLeft w:val="0"/>
      <w:marRight w:val="0"/>
      <w:marTop w:val="0"/>
      <w:marBottom w:val="0"/>
      <w:divBdr>
        <w:top w:val="none" w:sz="0" w:space="0" w:color="auto"/>
        <w:left w:val="none" w:sz="0" w:space="0" w:color="auto"/>
        <w:bottom w:val="none" w:sz="0" w:space="0" w:color="auto"/>
        <w:right w:val="none" w:sz="0" w:space="0" w:color="auto"/>
      </w:divBdr>
    </w:div>
    <w:div w:id="1219897007">
      <w:bodyDiv w:val="1"/>
      <w:marLeft w:val="0"/>
      <w:marRight w:val="0"/>
      <w:marTop w:val="0"/>
      <w:marBottom w:val="0"/>
      <w:divBdr>
        <w:top w:val="none" w:sz="0" w:space="0" w:color="auto"/>
        <w:left w:val="none" w:sz="0" w:space="0" w:color="auto"/>
        <w:bottom w:val="none" w:sz="0" w:space="0" w:color="auto"/>
        <w:right w:val="none" w:sz="0" w:space="0" w:color="auto"/>
      </w:divBdr>
    </w:div>
    <w:div w:id="122521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frs17secretariat@efrag.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frag.org/News/InvitationsToCommen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roject Document" ma:contentTypeID="0x010100424757986E2540868CAE723C1A3093F10100C5C55907A2DA2D49B1399116D304AB9A" ma:contentTypeVersion="21" ma:contentTypeDescription="Create a new document." ma:contentTypeScope="" ma:versionID="ae2a1357100f76029b3886df03c66e42">
  <xsd:schema xmlns:xsd="http://www.w3.org/2001/XMLSchema" xmlns:xs="http://www.w3.org/2001/XMLSchema" xmlns:p="http://schemas.microsoft.com/office/2006/metadata/properties" xmlns:ns2="9bc17653-fc4f-4043-ad3b-134743de0300" xmlns:ns3="c8cebab1-020c-4b5a-8718-fcc82b965974" targetNamespace="http://schemas.microsoft.com/office/2006/metadata/properties" ma:root="true" ma:fieldsID="94322d232c2cb67f1a224c953c2c28b1" ns2:_="" ns3:_="">
    <xsd:import namespace="9bc17653-fc4f-4043-ad3b-134743de0300"/>
    <xsd:import namespace="c8cebab1-020c-4b5a-8718-fcc82b965974"/>
    <xsd:element name="properties">
      <xsd:complexType>
        <xsd:sequence>
          <xsd:element name="documentManagement">
            <xsd:complexType>
              <xsd:all>
                <xsd:element ref="ns2:ge496a40d5c44658bad5a6d98308f1ba" minOccurs="0"/>
                <xsd:element ref="ns2:TaxCatchAll" minOccurs="0"/>
                <xsd:element ref="ns2:TaxCatchAllLabel" minOccurs="0"/>
                <xsd:element ref="ns2:efclDocumentDescription" minOccurs="0"/>
                <xsd:element ref="ns2:efclOriginalListId" minOccurs="0"/>
                <xsd:element ref="ns2:efclOriginalWebId" minOccurs="0"/>
                <xsd:element ref="ns2:efclProjectId" minOccurs="0"/>
                <xsd:element ref="ns2:p59a4e4f2bd147658de67f2316c08396" minOccurs="0"/>
                <xsd:element ref="ns2:i09da1fbf7d14ea9973a5584dd477f13" minOccurs="0"/>
                <xsd:element ref="ns2:e13db7feed7b463daca4211c55acd0c4" minOccurs="0"/>
                <xsd:element ref="ns2:efclPublishedToMeeting" minOccurs="0"/>
                <xsd:element ref="ns2:efclPublishedToWebsite" minOccurs="0"/>
                <xsd:element ref="ns2:efclPublishedTo" minOccurs="0"/>
                <xsd:element ref="ns2:efclOriginalItemId" minOccurs="0"/>
                <xsd:element ref="ns2:SharedWithUsers" minOccurs="0"/>
                <xsd:element ref="ns2:SharedWithDetails" minOccurs="0"/>
                <xsd:element ref="ns3:MediaServiceMetadata" minOccurs="0"/>
                <xsd:element ref="ns3:MediaServiceFastMetadata" minOccurs="0"/>
                <xsd:element ref="ns3:u9f4"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17653-fc4f-4043-ad3b-134743de0300" elementFormDefault="qualified">
    <xsd:import namespace="http://schemas.microsoft.com/office/2006/documentManagement/types"/>
    <xsd:import namespace="http://schemas.microsoft.com/office/infopath/2007/PartnerControls"/>
    <xsd:element name="ge496a40d5c44658bad5a6d98308f1ba" ma:index="8" nillable="true" ma:taxonomy="true" ma:internalName="ge496a40d5c44658bad5a6d98308f1ba" ma:taxonomyFieldName="efclDocumentType" ma:displayName="Document Type" ma:fieldId="{0e496a40-d5c4-4658-bad5-a6d98308f1ba}" ma:sspId="b5354ee9-1167-4e6c-842d-e3226f29bc49" ma:termSetId="4a3b34fd-4214-4cbe-a4ca-75cc788de7bf"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66703ae1-ce32-4f29-be92-8113fbd7fd87}" ma:internalName="TaxCatchAll" ma:showField="CatchAllData" ma:web="9bc17653-fc4f-4043-ad3b-134743de030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66703ae1-ce32-4f29-be92-8113fbd7fd87}" ma:internalName="TaxCatchAllLabel" ma:readOnly="true" ma:showField="CatchAllDataLabel" ma:web="9bc17653-fc4f-4043-ad3b-134743de0300">
      <xsd:complexType>
        <xsd:complexContent>
          <xsd:extension base="dms:MultiChoiceLookup">
            <xsd:sequence>
              <xsd:element name="Value" type="dms:Lookup" maxOccurs="unbounded" minOccurs="0" nillable="true"/>
            </xsd:sequence>
          </xsd:extension>
        </xsd:complexContent>
      </xsd:complexType>
    </xsd:element>
    <xsd:element name="efclDocumentDescription" ma:index="12" nillable="true" ma:displayName="Document Description" ma:internalName="efclDocumentDescription">
      <xsd:simpleType>
        <xsd:restriction base="dms:Note">
          <xsd:maxLength value="255"/>
        </xsd:restriction>
      </xsd:simpleType>
    </xsd:element>
    <xsd:element name="efclOriginalListId" ma:index="13" nillable="true" ma:displayName="Original List ID" ma:internalName="efclOriginalListId">
      <xsd:simpleType>
        <xsd:restriction base="dms:Text"/>
      </xsd:simpleType>
    </xsd:element>
    <xsd:element name="efclOriginalWebId" ma:index="14" nillable="true" ma:displayName="Original Web ID" ma:internalName="efclOriginalWebId">
      <xsd:simpleType>
        <xsd:restriction base="dms:Text"/>
      </xsd:simpleType>
    </xsd:element>
    <xsd:element name="efclProjectId" ma:index="15" nillable="true" ma:displayName="Project ID" ma:indexed="true" ma:internalName="efclProjectId">
      <xsd:simpleType>
        <xsd:restriction base="dms:Text"/>
      </xsd:simpleType>
    </xsd:element>
    <xsd:element name="p59a4e4f2bd147658de67f2316c08396" ma:index="16" nillable="true" ma:taxonomy="true" ma:internalName="p59a4e4f2bd147658de67f2316c08396" ma:taxonomyFieldName="efclTopics" ma:displayName="Topics" ma:readOnly="false" ma:fieldId="{959a4e4f-2bd1-4765-8de6-7f2316c08396}" ma:taxonomyMulti="true" ma:sspId="b5354ee9-1167-4e6c-842d-e3226f29bc49" ma:termSetId="319aa627-c73c-4f98-a92f-bfbccc408535" ma:anchorId="00000000-0000-0000-0000-000000000000" ma:open="false" ma:isKeyword="false">
      <xsd:complexType>
        <xsd:sequence>
          <xsd:element ref="pc:Terms" minOccurs="0" maxOccurs="1"/>
        </xsd:sequence>
      </xsd:complexType>
    </xsd:element>
    <xsd:element name="i09da1fbf7d14ea9973a5584dd477f13" ma:index="18" nillable="true" ma:taxonomy="true" ma:internalName="i09da1fbf7d14ea9973a5584dd477f13" ma:taxonomyFieldName="efclStandards" ma:displayName="Standards" ma:readOnly="false" ma:fieldId="{209da1fb-f7d1-4ea9-973a-5584dd477f13}" ma:taxonomyMulti="true" ma:sspId="b5354ee9-1167-4e6c-842d-e3226f29bc49" ma:termSetId="fde5f5a0-e3e9-40ac-9599-ce094e9f11cc" ma:anchorId="00000000-0000-0000-0000-000000000000" ma:open="false" ma:isKeyword="false">
      <xsd:complexType>
        <xsd:sequence>
          <xsd:element ref="pc:Terms" minOccurs="0" maxOccurs="1"/>
        </xsd:sequence>
      </xsd:complexType>
    </xsd:element>
    <xsd:element name="e13db7feed7b463daca4211c55acd0c4" ma:index="20" nillable="true" ma:taxonomy="true" ma:internalName="e13db7feed7b463daca4211c55acd0c4" ma:taxonomyFieldName="efclProjectStage" ma:displayName="Project Stage" ma:fieldId="{e13db7fe-ed7b-463d-aca4-211c55acd0c4}" ma:sspId="b5354ee9-1167-4e6c-842d-e3226f29bc49" ma:termSetId="9b49bf5b-71f9-4ba2-853c-72048cccbf8f" ma:anchorId="00000000-0000-0000-0000-000000000000" ma:open="false" ma:isKeyword="false">
      <xsd:complexType>
        <xsd:sequence>
          <xsd:element ref="pc:Terms" minOccurs="0" maxOccurs="1"/>
        </xsd:sequence>
      </xsd:complexType>
    </xsd:element>
    <xsd:element name="efclPublishedToMeeting" ma:index="22" nillable="true" ma:displayName="Published To meeting?" ma:hidden="true" ma:internalName="efclPublishedToMeeting" ma:readOnly="false">
      <xsd:simpleType>
        <xsd:restriction base="dms:Boolean"/>
      </xsd:simpleType>
    </xsd:element>
    <xsd:element name="efclPublishedToWebsite" ma:index="23" nillable="true" ma:displayName="Published To website?" ma:hidden="true" ma:internalName="efclPublishedToWebsite" ma:readOnly="false">
      <xsd:simpleType>
        <xsd:restriction base="dms:Boolean"/>
      </xsd:simpleType>
    </xsd:element>
    <xsd:element name="efclPublishedTo" ma:index="24" nillable="true" ma:displayName="Published To" ma:internalName="efclPublishedTo">
      <xsd:complexType>
        <xsd:complexContent>
          <xsd:extension base="dms:URL">
            <xsd:sequence>
              <xsd:element name="Url" type="dms:ValidUrl" minOccurs="0" nillable="true"/>
              <xsd:element name="Description" type="xsd:string" nillable="true"/>
            </xsd:sequence>
          </xsd:extension>
        </xsd:complexContent>
      </xsd:complexType>
    </xsd:element>
    <xsd:element name="efclOriginalItemId" ma:index="25" nillable="true" ma:displayName="Original Item ID" ma:internalName="efclOriginalItemId">
      <xsd:simpleType>
        <xsd:restriction base="dms:Number"/>
      </xsd:simpleType>
    </xsd:element>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cebab1-020c-4b5a-8718-fcc82b965974"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u9f4" ma:index="30" nillable="true" ma:displayName="Date and Time" ma:internalName="u9f4">
      <xsd:simpleType>
        <xsd:restriction base="dms:DateTim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efclPublishedToWebsite xmlns="9bc17653-fc4f-4043-ad3b-134743de0300">true</efclPublishedToWebsite>
    <i09da1fbf7d14ea9973a5584dd477f13 xmlns="9bc17653-fc4f-4043-ad3b-134743de0300">
      <Terms xmlns="http://schemas.microsoft.com/office/infopath/2007/PartnerControls"/>
    </i09da1fbf7d14ea9973a5584dd477f13>
    <efclPublishedTo xmlns="9bc17653-fc4f-4043-ad3b-134743de0300">
      <Url>https://efrag.sharepoint.com/Meetings/2008101755157682</Url>
      <Description>EFRAG TEG webcast meeting 16 September 2020</Description>
    </efclPublishedTo>
    <ge496a40d5c44658bad5a6d98308f1ba xmlns="9bc17653-fc4f-4043-ad3b-134743de0300">
      <Terms xmlns="http://schemas.microsoft.com/office/infopath/2007/PartnerControls">
        <TermInfo xmlns="http://schemas.microsoft.com/office/infopath/2007/PartnerControls">
          <TermName xmlns="http://schemas.microsoft.com/office/infopath/2007/PartnerControls">Draft endorsement advice</TermName>
          <TermId xmlns="http://schemas.microsoft.com/office/infopath/2007/PartnerControls">0c504c2e-212e-4b95-83ab-7dce8db4408e</TermId>
        </TermInfo>
      </Terms>
    </ge496a40d5c44658bad5a6d98308f1ba>
    <efclDocumentDescription xmlns="9bc17653-fc4f-4043-ad3b-134743de0300" xsi:nil="true"/>
    <p59a4e4f2bd147658de67f2316c08396 xmlns="9bc17653-fc4f-4043-ad3b-134743de0300">
      <Terms xmlns="http://schemas.microsoft.com/office/infopath/2007/PartnerControls"/>
    </p59a4e4f2bd147658de67f2316c08396>
    <TaxCatchAll xmlns="9bc17653-fc4f-4043-ad3b-134743de0300">
      <Value>182</Value>
      <Value>183</Value>
    </TaxCatchAll>
    <efclPublishedToMeeting xmlns="9bc17653-fc4f-4043-ad3b-134743de0300">true</efclPublishedToMeeting>
    <efclProjectId xmlns="9bc17653-fc4f-4043-ad3b-134743de0300">289</efclProjectId>
    <e13db7feed7b463daca4211c55acd0c4 xmlns="9bc17653-fc4f-4043-ad3b-134743de0300">
      <Terms xmlns="http://schemas.microsoft.com/office/infopath/2007/PartnerControls">
        <TermInfo xmlns="http://schemas.microsoft.com/office/infopath/2007/PartnerControls">
          <TermName xmlns="http://schemas.microsoft.com/office/infopath/2007/PartnerControls">Endorsement consultation</TermName>
          <TermId xmlns="http://schemas.microsoft.com/office/infopath/2007/PartnerControls">c53d4a94-0de6-4ac0-aca1-ffd5e54999f9</TermId>
        </TermInfo>
      </Terms>
    </e13db7feed7b463daca4211c55acd0c4>
    <u9f4 xmlns="c8cebab1-020c-4b5a-8718-fcc82b965974" xsi:nil="true"/>
    <efclOriginalWebId xmlns="9bc17653-fc4f-4043-ad3b-134743de0300">5ccd561f-08f6-41b1-9d54-4ec816406f0b</efclOriginalWebId>
    <efclOriginalListId xmlns="9bc17653-fc4f-4043-ad3b-134743de0300">4e8c30e0-2f5c-47f1-bb73-489a9dffd90b</efclOriginalListId>
    <efclOriginalItemId xmlns="9bc17653-fc4f-4043-ad3b-134743de0300">1258</efclOriginalItemId>
  </documentManagement>
</p:properties>
</file>

<file path=customXml/itemProps1.xml><?xml version="1.0" encoding="utf-8"?>
<ds:datastoreItem xmlns:ds="http://schemas.openxmlformats.org/officeDocument/2006/customXml" ds:itemID="{BE685F39-6642-4B2E-94B4-0ED42B07B2CF}">
  <ds:schemaRefs>
    <ds:schemaRef ds:uri="http://schemas.microsoft.com/sharepoint/v3/contenttype/forms"/>
  </ds:schemaRefs>
</ds:datastoreItem>
</file>

<file path=customXml/itemProps2.xml><?xml version="1.0" encoding="utf-8"?>
<ds:datastoreItem xmlns:ds="http://schemas.openxmlformats.org/officeDocument/2006/customXml" ds:itemID="{5DE0028D-8E57-4AA1-81E5-A209E6FD5086}"/>
</file>

<file path=customXml/itemProps3.xml><?xml version="1.0" encoding="utf-8"?>
<ds:datastoreItem xmlns:ds="http://schemas.openxmlformats.org/officeDocument/2006/customXml" ds:itemID="{52AE1083-102D-4BBB-8B33-ABBD9EEEFD43}">
  <ds:schemaRefs>
    <ds:schemaRef ds:uri="http://schemas.openxmlformats.org/officeDocument/2006/bibliography"/>
  </ds:schemaRefs>
</ds:datastoreItem>
</file>

<file path=customXml/itemProps4.xml><?xml version="1.0" encoding="utf-8"?>
<ds:datastoreItem xmlns:ds="http://schemas.openxmlformats.org/officeDocument/2006/customXml" ds:itemID="{2F521052-C76E-41B5-9ECB-FB2EF6F888BD}">
  <ds:schemaRefs>
    <ds:schemaRef ds:uri="http://schemas.microsoft.com/office/2006/metadata/properties"/>
    <ds:schemaRef ds:uri="http://schemas.microsoft.com/office/infopath/2007/PartnerControls"/>
    <ds:schemaRef ds:uri="1daca54f-5fb0-46da-90de-dff88369e459"/>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13</Pages>
  <Words>4532</Words>
  <Characters>25838</Characters>
  <Application>Microsoft Office Word</Application>
  <DocSecurity>0</DocSecurity>
  <Lines>215</Lines>
  <Paragraphs>60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KPMG</Company>
  <LinksUpToDate>false</LinksUpToDate>
  <CharactersWithSpaces>30310</CharactersWithSpaces>
  <SharedDoc>false</SharedDoc>
  <HLinks>
    <vt:vector size="12" baseType="variant">
      <vt:variant>
        <vt:i4>3735555</vt:i4>
      </vt:variant>
      <vt:variant>
        <vt:i4>165</vt:i4>
      </vt:variant>
      <vt:variant>
        <vt:i4>0</vt:i4>
      </vt:variant>
      <vt:variant>
        <vt:i4>5</vt:i4>
      </vt:variant>
      <vt:variant>
        <vt:lpwstr>mailto:ifrs17secretariat@efrag.org</vt:lpwstr>
      </vt:variant>
      <vt:variant>
        <vt:lpwstr/>
      </vt:variant>
      <vt:variant>
        <vt:i4>7274546</vt:i4>
      </vt:variant>
      <vt:variant>
        <vt:i4>0</vt:i4>
      </vt:variant>
      <vt:variant>
        <vt:i4>0</vt:i4>
      </vt:variant>
      <vt:variant>
        <vt:i4>5</vt:i4>
      </vt:variant>
      <vt:variant>
        <vt:lpwstr>http://www.efrag.org/News/InvitationsToComment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Ioanna Chatzieffraimidou</dc:creator>
  <cp:keywords/>
  <dc:description/>
  <cp:lastModifiedBy>Sapna Heeralall</cp:lastModifiedBy>
  <cp:revision>581</cp:revision>
  <cp:lastPrinted>2020-09-29T10:36:00Z</cp:lastPrinted>
  <dcterms:created xsi:type="dcterms:W3CDTF">2020-09-08T09:01:00Z</dcterms:created>
  <dcterms:modified xsi:type="dcterms:W3CDTF">2020-09-29T10:36:00Z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0x010100424757986E2540868CAE723C1A3093F10100C5C55907A2DA2D49B1399116D304AB9A</vt:lpwstr>
  </property>
  <property fmtid="{D5CDD505-2E9C-101B-9397-08002B2CF9AE}" pid="3" name="AuthorIds_UIVersion_512">
    <vt:lpwstr>723</vt:lpwstr>
  </property>
  <property fmtid="{D5CDD505-2E9C-101B-9397-08002B2CF9AE}" pid="4" name="efclTopics">
    <vt:lpwstr/>
  </property>
  <property fmtid="{D5CDD505-2E9C-101B-9397-08002B2CF9AE}" pid="5" name="efclProjectStage">
    <vt:lpwstr>182;#Endorsement consultation|c53d4a94-0de6-4ac0-aca1-ffd5e54999f9</vt:lpwstr>
  </property>
  <property fmtid="{D5CDD505-2E9C-101B-9397-08002B2CF9AE}" pid="6" name="efclDocumentType">
    <vt:lpwstr>183;#Draft endorsement advice|0c504c2e-212e-4b95-83ab-7dce8db4408e</vt:lpwstr>
  </property>
  <property fmtid="{D5CDD505-2E9C-101B-9397-08002B2CF9AE}" pid="7" name="efclStandards">
    <vt:lpwstr/>
  </property>
</Properties>
</file>