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AE" w:rsidRDefault="008F55AE" w:rsidP="008F55AE">
      <w:pPr>
        <w:tabs>
          <w:tab w:val="left" w:pos="915"/>
          <w:tab w:val="center" w:pos="4365"/>
        </w:tabs>
        <w:spacing w:before="0"/>
        <w:rPr>
          <w:rFonts w:cs="Arial"/>
          <w:b/>
          <w:sz w:val="24"/>
          <w:szCs w:val="24"/>
        </w:rPr>
      </w:pPr>
      <w:bookmarkStart w:id="0" w:name="_GoBack"/>
      <w:bookmarkEnd w:id="0"/>
    </w:p>
    <w:p w:rsidR="000C09E0" w:rsidRPr="00715A3E" w:rsidRDefault="000C09E0" w:rsidP="00B64EDC">
      <w:pPr>
        <w:pStyle w:val="Heading1"/>
      </w:pPr>
      <w:r>
        <w:t>DRAFT ENDORSEMENT ADVICE AND EFFECTS STUDY REPORT</w:t>
      </w:r>
      <w:r w:rsidRPr="00A9534D">
        <w:t xml:space="preserve"> </w:t>
      </w:r>
      <w:r w:rsidRPr="003B6C07">
        <w:t>O</w:t>
      </w:r>
      <w:r>
        <w:t xml:space="preserve">N </w:t>
      </w:r>
      <w:r w:rsidR="005B0D75">
        <w:t>EQUITY METHOD IN SEPARATE FINANCIAL STATEMENTS (AMENDMENTS TO IAS 27)</w:t>
      </w:r>
    </w:p>
    <w:p w:rsidR="00965C73" w:rsidRPr="00715A3E" w:rsidRDefault="00965C73" w:rsidP="00B64EDC">
      <w:pPr>
        <w:pStyle w:val="Heading1"/>
      </w:pPr>
      <w:r w:rsidRPr="00715A3E">
        <w:t xml:space="preserve">INVITATION TO COMMENT ON EFRAG’S ASSESSMENTS </w:t>
      </w:r>
    </w:p>
    <w:p w:rsidR="00965C73" w:rsidRPr="00715A3E" w:rsidRDefault="00965C73" w:rsidP="00622B4A">
      <w:pPr>
        <w:keepNext/>
        <w:pBdr>
          <w:top w:val="single" w:sz="4" w:space="1" w:color="auto"/>
          <w:left w:val="single" w:sz="4" w:space="4" w:color="auto"/>
          <w:bottom w:val="single" w:sz="4" w:space="0" w:color="auto"/>
          <w:right w:val="single" w:sz="4" w:space="4" w:color="auto"/>
        </w:pBdr>
        <w:ind w:right="84"/>
        <w:outlineLvl w:val="0"/>
        <w:rPr>
          <w:rFonts w:cs="Arial"/>
          <w:b/>
          <w:sz w:val="24"/>
          <w:szCs w:val="24"/>
        </w:rPr>
      </w:pPr>
      <w:r w:rsidRPr="00491F6E">
        <w:rPr>
          <w:rFonts w:cs="Arial"/>
          <w:b/>
          <w:sz w:val="24"/>
          <w:szCs w:val="24"/>
        </w:rPr>
        <w:t xml:space="preserve">Comments should be sent to </w:t>
      </w:r>
      <w:hyperlink r:id="rId9" w:history="1">
        <w:r w:rsidRPr="00491F6E">
          <w:rPr>
            <w:rFonts w:cs="Arial"/>
            <w:b/>
            <w:sz w:val="24"/>
            <w:szCs w:val="24"/>
          </w:rPr>
          <w:t>commentletter</w:t>
        </w:r>
        <w:r w:rsidR="00C71A46" w:rsidRPr="00491F6E">
          <w:rPr>
            <w:rFonts w:cs="Arial"/>
            <w:b/>
            <w:sz w:val="24"/>
            <w:szCs w:val="24"/>
          </w:rPr>
          <w:t>s</w:t>
        </w:r>
        <w:r w:rsidRPr="00491F6E">
          <w:rPr>
            <w:rFonts w:cs="Arial"/>
            <w:b/>
            <w:sz w:val="24"/>
            <w:szCs w:val="24"/>
          </w:rPr>
          <w:t>@efrag.org</w:t>
        </w:r>
      </w:hyperlink>
      <w:r w:rsidRPr="00491F6E">
        <w:rPr>
          <w:rFonts w:cs="Arial"/>
          <w:b/>
          <w:sz w:val="24"/>
          <w:szCs w:val="24"/>
        </w:rPr>
        <w:t xml:space="preserve"> by </w:t>
      </w:r>
      <w:r w:rsidR="00491F6E" w:rsidRPr="00491F6E">
        <w:rPr>
          <w:rFonts w:cs="Arial"/>
          <w:b/>
          <w:sz w:val="24"/>
          <w:szCs w:val="24"/>
        </w:rPr>
        <w:t>21</w:t>
      </w:r>
      <w:r w:rsidR="004A758C" w:rsidRPr="00491F6E">
        <w:rPr>
          <w:rFonts w:cs="Arial"/>
          <w:b/>
          <w:sz w:val="24"/>
          <w:szCs w:val="24"/>
        </w:rPr>
        <w:t xml:space="preserve"> November</w:t>
      </w:r>
      <w:r w:rsidR="00622B4A" w:rsidRPr="00491F6E">
        <w:rPr>
          <w:rFonts w:cs="Arial"/>
          <w:b/>
          <w:sz w:val="24"/>
          <w:szCs w:val="24"/>
        </w:rPr>
        <w:t xml:space="preserve"> </w:t>
      </w:r>
      <w:r w:rsidR="005B0D75" w:rsidRPr="00491F6E">
        <w:rPr>
          <w:rFonts w:cs="Arial"/>
          <w:b/>
          <w:sz w:val="24"/>
          <w:szCs w:val="24"/>
        </w:rPr>
        <w:t>2014</w:t>
      </w:r>
    </w:p>
    <w:p w:rsidR="001175D6" w:rsidRDefault="00965C73" w:rsidP="001175D6">
      <w:pPr>
        <w:pStyle w:val="Bodyparagraph"/>
      </w:pPr>
      <w:r w:rsidRPr="00715A3E">
        <w:t>EFRAG has been asked by the European Commission to provide it with advice and supporting material on the</w:t>
      </w:r>
      <w:r w:rsidR="0077701C">
        <w:t xml:space="preserve"> narrow-scope amendments to IAS 27 </w:t>
      </w:r>
      <w:r w:rsidR="0077701C" w:rsidRPr="0077701C">
        <w:rPr>
          <w:i/>
        </w:rPr>
        <w:t>Separate Financial Statements</w:t>
      </w:r>
      <w:r w:rsidR="0077701C">
        <w:t>:</w:t>
      </w:r>
      <w:r w:rsidR="00F671B8">
        <w:t xml:space="preserve"> </w:t>
      </w:r>
      <w:r w:rsidR="00F671B8" w:rsidRPr="0077701C">
        <w:rPr>
          <w:i/>
        </w:rPr>
        <w:t>Equity Method in Separate Financial Statements</w:t>
      </w:r>
      <w:r w:rsidR="00A832BF">
        <w:rPr>
          <w:i/>
        </w:rPr>
        <w:t xml:space="preserve"> </w:t>
      </w:r>
      <w:r w:rsidR="00A832BF">
        <w:t>(</w:t>
      </w:r>
      <w:r w:rsidR="00F671B8">
        <w:t xml:space="preserve">the </w:t>
      </w:r>
      <w:r w:rsidR="009270F5">
        <w:t>‘</w:t>
      </w:r>
      <w:r w:rsidR="00F671B8">
        <w:t>Amendments</w:t>
      </w:r>
      <w:r w:rsidR="009270F5">
        <w:t>’</w:t>
      </w:r>
      <w:r w:rsidR="00A832BF">
        <w:t>)</w:t>
      </w:r>
      <w:r w:rsidR="00BC4E31" w:rsidRPr="00715A3E">
        <w:t>.</w:t>
      </w:r>
      <w:r w:rsidR="00A36B62" w:rsidRPr="00715A3E">
        <w:rPr>
          <w:i/>
        </w:rPr>
        <w:t xml:space="preserve"> </w:t>
      </w:r>
      <w:r w:rsidRPr="00715A3E">
        <w:t>In order to do that, EFRAG has been carrying out a</w:t>
      </w:r>
      <w:r w:rsidR="00062FEA">
        <w:t>n</w:t>
      </w:r>
      <w:r w:rsidRPr="00715A3E">
        <w:t xml:space="preserve"> assessment of the </w:t>
      </w:r>
      <w:r w:rsidR="00F671B8">
        <w:t>Amendments</w:t>
      </w:r>
      <w:r w:rsidRPr="00715A3E">
        <w:t xml:space="preserve"> against the </w:t>
      </w:r>
      <w:r w:rsidR="00062FEA" w:rsidRPr="00715A3E">
        <w:t xml:space="preserve">technical </w:t>
      </w:r>
      <w:r w:rsidRPr="00715A3E">
        <w:t>criteria for endorsement set out in Regulation (EC) No 1606/2002 and has also been assessing the costs and benefits that would arise from it</w:t>
      </w:r>
      <w:r w:rsidR="00E50C79" w:rsidRPr="00715A3E">
        <w:t>s</w:t>
      </w:r>
      <w:r w:rsidRPr="00715A3E">
        <w:t xml:space="preserve"> implementation in the </w:t>
      </w:r>
      <w:r w:rsidR="00DE1660" w:rsidRPr="00CF5EDF">
        <w:t>European Union (the EU</w:t>
      </w:r>
      <w:r w:rsidR="00062FEA" w:rsidRPr="00CF5EDF">
        <w:t>)</w:t>
      </w:r>
      <w:r w:rsidR="00CF5EDF">
        <w:t xml:space="preserve"> and </w:t>
      </w:r>
      <w:r w:rsidR="00CF5EDF" w:rsidRPr="00CF5EDF">
        <w:t>European Economic Area</w:t>
      </w:r>
      <w:r w:rsidR="00062FEA">
        <w:t>.</w:t>
      </w:r>
    </w:p>
    <w:p w:rsidR="00965C73" w:rsidRPr="00715A3E" w:rsidRDefault="00A832BF" w:rsidP="0038694A">
      <w:pPr>
        <w:pStyle w:val="Bodyparagraph"/>
      </w:pPr>
      <w:r>
        <w:t xml:space="preserve">A summary of the </w:t>
      </w:r>
      <w:r w:rsidR="00F671B8">
        <w:t>Amendments</w:t>
      </w:r>
      <w:r w:rsidR="00965C73" w:rsidRPr="00715A3E">
        <w:t xml:space="preserve"> </w:t>
      </w:r>
      <w:r w:rsidR="009270F5">
        <w:t xml:space="preserve">is </w:t>
      </w:r>
      <w:r w:rsidR="00965C73" w:rsidRPr="00715A3E">
        <w:t xml:space="preserve">set out in Appendix 1. </w:t>
      </w:r>
    </w:p>
    <w:p w:rsidR="001175D6" w:rsidRPr="00A63F7C" w:rsidRDefault="001175D6" w:rsidP="001175D6">
      <w:pPr>
        <w:pStyle w:val="Normalnumbered"/>
        <w:numPr>
          <w:ilvl w:val="0"/>
          <w:numId w:val="0"/>
        </w:numPr>
        <w:pBdr>
          <w:top w:val="single" w:sz="4" w:space="1" w:color="auto"/>
          <w:left w:val="single" w:sz="4" w:space="4" w:color="auto"/>
          <w:bottom w:val="single" w:sz="4" w:space="1" w:color="auto"/>
          <w:right w:val="single" w:sz="4" w:space="4" w:color="auto"/>
        </w:pBdr>
        <w:spacing w:before="120"/>
        <w:rPr>
          <w:b/>
        </w:rPr>
      </w:pPr>
      <w:r w:rsidRPr="00A63F7C">
        <w:rPr>
          <w:b/>
        </w:rPr>
        <w:t>Note to constituents</w:t>
      </w:r>
    </w:p>
    <w:p w:rsidR="00C90BC9" w:rsidRDefault="00C90BC9" w:rsidP="007572C0">
      <w:pPr>
        <w:pStyle w:val="Normalnumbered"/>
        <w:numPr>
          <w:ilvl w:val="0"/>
          <w:numId w:val="0"/>
        </w:numPr>
        <w:pBdr>
          <w:top w:val="single" w:sz="4" w:space="1" w:color="auto"/>
          <w:left w:val="single" w:sz="4" w:space="4" w:color="auto"/>
          <w:bottom w:val="single" w:sz="4" w:space="1" w:color="auto"/>
          <w:right w:val="single" w:sz="4" w:space="4" w:color="auto"/>
        </w:pBdr>
        <w:spacing w:before="120"/>
      </w:pPr>
      <w:r w:rsidRPr="00C90BC9">
        <w:t>T</w:t>
      </w:r>
      <w:r>
        <w:t>he endorsement advice on the Amendments</w:t>
      </w:r>
      <w:r w:rsidRPr="00C90BC9">
        <w:t xml:space="preserve"> will be finalised by </w:t>
      </w:r>
      <w:r w:rsidR="00162597">
        <w:t xml:space="preserve">the </w:t>
      </w:r>
      <w:r w:rsidRPr="00C90BC9">
        <w:t xml:space="preserve">EFRAG Board which is expected to be in place by 31 October 2014. The EFRAG Board results from the recent and ongoing governance </w:t>
      </w:r>
      <w:r w:rsidRPr="00E83CEA">
        <w:t>reform. It</w:t>
      </w:r>
      <w:r w:rsidRPr="00C90BC9">
        <w:t xml:space="preserve"> will be responsible for all EFRAG positions after considering the technical advice provided by the EFRAG Technical Expert Group and the outcome of EFRAG’s due process.</w:t>
      </w:r>
    </w:p>
    <w:p w:rsidR="001175D6" w:rsidRPr="00A63F7C" w:rsidRDefault="007572C0" w:rsidP="007572C0">
      <w:pPr>
        <w:pStyle w:val="Normalnumbered"/>
        <w:numPr>
          <w:ilvl w:val="0"/>
          <w:numId w:val="0"/>
        </w:numPr>
        <w:pBdr>
          <w:top w:val="single" w:sz="4" w:space="1" w:color="auto"/>
          <w:left w:val="single" w:sz="4" w:space="4" w:color="auto"/>
          <w:bottom w:val="single" w:sz="4" w:space="1" w:color="auto"/>
          <w:right w:val="single" w:sz="4" w:space="4" w:color="auto"/>
        </w:pBdr>
        <w:spacing w:before="120"/>
      </w:pPr>
      <w:r>
        <w:t xml:space="preserve">The </w:t>
      </w:r>
      <w:r w:rsidR="001175D6" w:rsidRPr="00A63F7C">
        <w:t xml:space="preserve">Amendments to </w:t>
      </w:r>
      <w:r>
        <w:t xml:space="preserve">IAS 27 </w:t>
      </w:r>
      <w:r w:rsidRPr="007572C0">
        <w:rPr>
          <w:i/>
          <w:iCs/>
        </w:rPr>
        <w:t>Equity Method in Separate Financial Statements</w:t>
      </w:r>
      <w:r>
        <w:t xml:space="preserve"> refer</w:t>
      </w:r>
      <w:r w:rsidR="001175D6" w:rsidRPr="00A63F7C">
        <w:t xml:space="preserve"> to IFRS 9 </w:t>
      </w:r>
      <w:r w:rsidR="001175D6" w:rsidRPr="00A63F7C">
        <w:rPr>
          <w:i/>
        </w:rPr>
        <w:t>Financial Instruments</w:t>
      </w:r>
      <w:r w:rsidR="001175D6" w:rsidRPr="00A63F7C">
        <w:t>, which has not yet been endorsed in the EU. These references to IFRS 9 are not addressed in this Draft Endorsement Advice</w:t>
      </w:r>
      <w:r w:rsidR="000A70C0">
        <w:t>.</w:t>
      </w:r>
      <w:r w:rsidR="001175D6" w:rsidRPr="00A63F7C">
        <w:t xml:space="preserve"> </w:t>
      </w:r>
      <w:r w:rsidR="000A70C0">
        <w:t>They</w:t>
      </w:r>
      <w:r w:rsidR="001175D6" w:rsidRPr="00A63F7C">
        <w:t xml:space="preserve"> will be </w:t>
      </w:r>
      <w:r w:rsidR="000A70C0">
        <w:t xml:space="preserve">addressed when </w:t>
      </w:r>
      <w:r w:rsidR="001175D6" w:rsidRPr="00A63F7C">
        <w:t>IFRS 9</w:t>
      </w:r>
      <w:r w:rsidR="000A70C0">
        <w:t xml:space="preserve"> is considered for endorsement</w:t>
      </w:r>
      <w:r w:rsidR="001175D6" w:rsidRPr="00A63F7C">
        <w:t>.</w:t>
      </w:r>
    </w:p>
    <w:p w:rsidR="00965C73" w:rsidRPr="00715A3E" w:rsidRDefault="00965C73" w:rsidP="0038694A">
      <w:pPr>
        <w:pStyle w:val="Bodyparagraph"/>
      </w:pPr>
      <w:r w:rsidRPr="00715A3E">
        <w:t>Before finalising its two assessments, EFRAG would welcome your views on the issues set out below.</w:t>
      </w:r>
      <w:r w:rsidR="00DF2889" w:rsidRPr="00715A3E">
        <w:t xml:space="preserve"> </w:t>
      </w:r>
      <w:r w:rsidRPr="00715A3E">
        <w:t>Please note that all responses received will be placed on the public record</w:t>
      </w:r>
      <w:r w:rsidR="008D2340">
        <w:t>,</w:t>
      </w:r>
      <w:r w:rsidRPr="00715A3E">
        <w:t xml:space="preserve"> unless the respondent requests confidentiality.</w:t>
      </w:r>
      <w:r w:rsidR="00DF2889" w:rsidRPr="00715A3E">
        <w:t xml:space="preserve"> </w:t>
      </w:r>
      <w:r w:rsidRPr="00715A3E">
        <w:t xml:space="preserve">In the interest of transparency EFRAG will wish to discuss the responses it receives in a public meeting, so we would prefer to be able to publish all the responses received. </w:t>
      </w:r>
    </w:p>
    <w:tbl>
      <w:tblPr>
        <w:tblStyle w:val="TableGrid"/>
        <w:tblW w:w="0" w:type="auto"/>
        <w:tblLook w:val="04A0" w:firstRow="1" w:lastRow="0" w:firstColumn="1" w:lastColumn="0" w:noHBand="0" w:noVBand="1"/>
      </w:tblPr>
      <w:tblGrid>
        <w:gridCol w:w="8947"/>
      </w:tblGrid>
      <w:tr w:rsidR="0038694A" w:rsidTr="0038694A">
        <w:tc>
          <w:tcPr>
            <w:tcW w:w="8947" w:type="dxa"/>
          </w:tcPr>
          <w:p w:rsidR="0038694A" w:rsidRDefault="0038694A" w:rsidP="0038694A">
            <w:pPr>
              <w:pStyle w:val="BoxTitle"/>
            </w:pPr>
            <w:r w:rsidRPr="00715A3E">
              <w:t xml:space="preserve">EFRAG initial assessments summarised in this questionnaire will be amended to reflect EFRAG’s decisions on Appendix 2 and 3. </w:t>
            </w:r>
          </w:p>
        </w:tc>
      </w:tr>
    </w:tbl>
    <w:p w:rsidR="00965C73" w:rsidRPr="00715A3E" w:rsidRDefault="00965C73" w:rsidP="00D11A41">
      <w:pPr>
        <w:pStyle w:val="Normalnumberedlevel1"/>
      </w:pPr>
      <w:r w:rsidRPr="00715A3E">
        <w:t>Please provide the following details about yourself:</w:t>
      </w:r>
    </w:p>
    <w:p w:rsidR="00BC4E31" w:rsidRPr="00715A3E" w:rsidRDefault="00965C73" w:rsidP="00D11A41">
      <w:pPr>
        <w:pStyle w:val="Normalnumberedlevel2"/>
      </w:pPr>
      <w:r w:rsidRPr="00715A3E">
        <w:t xml:space="preserve">Your </w:t>
      </w:r>
      <w:r w:rsidRPr="00715964">
        <w:t>name</w:t>
      </w:r>
      <w:r w:rsidRPr="00715A3E">
        <w:t xml:space="preserve"> or, if you are responding on behalf of an organisation or company,</w:t>
      </w:r>
      <w:r w:rsidR="009328B0" w:rsidRPr="00715A3E">
        <w:t xml:space="preserve"> </w:t>
      </w:r>
      <w:r w:rsidRPr="00715A3E">
        <w:t>its name: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rsidTr="00965C73">
        <w:tc>
          <w:tcPr>
            <w:tcW w:w="7602" w:type="dxa"/>
            <w:tcBorders>
              <w:top w:val="nil"/>
              <w:left w:val="nil"/>
              <w:bottom w:val="single" w:sz="4" w:space="0" w:color="000000"/>
              <w:right w:val="nil"/>
            </w:tcBorders>
          </w:tcPr>
          <w:p w:rsidR="00965C73" w:rsidRPr="00715A3E" w:rsidRDefault="00965C73">
            <w:pPr>
              <w:jc w:val="both"/>
              <w:outlineLvl w:val="0"/>
              <w:rPr>
                <w:rFonts w:ascii="Courier" w:hAnsi="Courier" w:cs="Arial"/>
              </w:rPr>
            </w:pPr>
          </w:p>
        </w:tc>
      </w:tr>
      <w:tr w:rsidR="00965C73" w:rsidRPr="00715A3E" w:rsidTr="00965C73">
        <w:tc>
          <w:tcPr>
            <w:tcW w:w="7602"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r w:rsidR="00965C73" w:rsidRPr="00715A3E" w:rsidTr="00965C73">
        <w:tc>
          <w:tcPr>
            <w:tcW w:w="7602"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bl>
    <w:p w:rsidR="00965C73" w:rsidRPr="00715A3E" w:rsidRDefault="00965C73" w:rsidP="00D11A41">
      <w:pPr>
        <w:pStyle w:val="Normalnumberedlevel2"/>
      </w:pPr>
      <w:r w:rsidRPr="00715A3E">
        <w:t>Are you a:</w:t>
      </w:r>
    </w:p>
    <w:p w:rsidR="00965C73" w:rsidRPr="00715A3E" w:rsidRDefault="000E748E" w:rsidP="00965C73">
      <w:pPr>
        <w:ind w:left="1129" w:firstLine="5"/>
        <w:jc w:val="both"/>
        <w:outlineLvl w:val="0"/>
        <w:rPr>
          <w:rFonts w:cs="Arial"/>
        </w:rPr>
      </w:pPr>
      <w:r w:rsidRPr="00715A3E">
        <w:rPr>
          <w:rFonts w:cs="Arial"/>
        </w:rPr>
        <w:fldChar w:fldCharType="begin">
          <w:ffData>
            <w:name w:val="Kontrollkästchen1"/>
            <w:enabled/>
            <w:calcOnExit w:val="0"/>
            <w:checkBox>
              <w:sizeAuto/>
              <w:default w:val="0"/>
              <w:checked w:val="0"/>
            </w:checkBox>
          </w:ffData>
        </w:fldChar>
      </w:r>
      <w:bookmarkStart w:id="1" w:name="Kontrollkästchen1"/>
      <w:r w:rsidR="00965C73" w:rsidRPr="00715A3E">
        <w:rPr>
          <w:rFonts w:cs="Arial"/>
        </w:rPr>
        <w:instrText xml:space="preserve"> FORMCHECKBOX </w:instrText>
      </w:r>
      <w:r w:rsidR="00051A09">
        <w:rPr>
          <w:rFonts w:cs="Arial"/>
        </w:rPr>
      </w:r>
      <w:r w:rsidR="00051A09">
        <w:rPr>
          <w:rFonts w:cs="Arial"/>
        </w:rPr>
        <w:fldChar w:fldCharType="separate"/>
      </w:r>
      <w:r w:rsidRPr="00715A3E">
        <w:fldChar w:fldCharType="end"/>
      </w:r>
      <w:bookmarkEnd w:id="1"/>
      <w:r w:rsidR="00965C73" w:rsidRPr="00715A3E">
        <w:rPr>
          <w:rFonts w:cs="Arial"/>
        </w:rPr>
        <w:t xml:space="preserve"> Preparer</w:t>
      </w:r>
      <w:r w:rsidR="000A70C0">
        <w:rPr>
          <w:rFonts w:cs="Arial"/>
        </w:rPr>
        <w:tab/>
      </w:r>
      <w:r w:rsidR="007D1E86">
        <w:rPr>
          <w:rFonts w:cs="Arial"/>
        </w:rPr>
        <w:t xml:space="preserve"> </w:t>
      </w:r>
      <w:r w:rsidRPr="00715A3E">
        <w:rPr>
          <w:rFonts w:cs="Arial"/>
        </w:rPr>
        <w:fldChar w:fldCharType="begin">
          <w:ffData>
            <w:name w:val="Kontrollkästchen2"/>
            <w:enabled/>
            <w:calcOnExit w:val="0"/>
            <w:checkBox>
              <w:sizeAuto/>
              <w:default w:val="0"/>
              <w:checked w:val="0"/>
            </w:checkBox>
          </w:ffData>
        </w:fldChar>
      </w:r>
      <w:bookmarkStart w:id="2" w:name="Kontrollkästchen2"/>
      <w:r w:rsidR="00965C73" w:rsidRPr="00715A3E">
        <w:rPr>
          <w:rFonts w:cs="Arial"/>
        </w:rPr>
        <w:instrText xml:space="preserve"> FORMCHECKBOX </w:instrText>
      </w:r>
      <w:r w:rsidR="00051A09">
        <w:rPr>
          <w:rFonts w:cs="Arial"/>
        </w:rPr>
      </w:r>
      <w:r w:rsidR="00051A09">
        <w:rPr>
          <w:rFonts w:cs="Arial"/>
        </w:rPr>
        <w:fldChar w:fldCharType="separate"/>
      </w:r>
      <w:r w:rsidRPr="00715A3E">
        <w:fldChar w:fldCharType="end"/>
      </w:r>
      <w:bookmarkEnd w:id="2"/>
      <w:r w:rsidR="00965C73" w:rsidRPr="00715A3E">
        <w:rPr>
          <w:rFonts w:cs="Arial"/>
        </w:rPr>
        <w:t xml:space="preserve"> User</w:t>
      </w:r>
      <w:r w:rsidR="000A70C0">
        <w:rPr>
          <w:rFonts w:cs="Arial"/>
        </w:rPr>
        <w:tab/>
      </w:r>
      <w:r w:rsidR="007D1E86">
        <w:rPr>
          <w:rFonts w:cs="Arial"/>
        </w:rPr>
        <w:t xml:space="preserve"> </w:t>
      </w:r>
      <w:r w:rsidRPr="00715A3E">
        <w:rPr>
          <w:rFonts w:cs="Arial"/>
        </w:rPr>
        <w:fldChar w:fldCharType="begin">
          <w:ffData>
            <w:name w:val="Kontrollkästchen3"/>
            <w:enabled/>
            <w:calcOnExit w:val="0"/>
            <w:checkBox>
              <w:sizeAuto/>
              <w:default w:val="0"/>
              <w:checked w:val="0"/>
            </w:checkBox>
          </w:ffData>
        </w:fldChar>
      </w:r>
      <w:bookmarkStart w:id="3" w:name="Kontrollkästchen3"/>
      <w:r w:rsidR="00965C73" w:rsidRPr="00715A3E">
        <w:rPr>
          <w:rFonts w:cs="Arial"/>
        </w:rPr>
        <w:instrText xml:space="preserve"> FORMCHECKBOX </w:instrText>
      </w:r>
      <w:r w:rsidR="00051A09">
        <w:rPr>
          <w:rFonts w:cs="Arial"/>
        </w:rPr>
      </w:r>
      <w:r w:rsidR="00051A09">
        <w:rPr>
          <w:rFonts w:cs="Arial"/>
        </w:rPr>
        <w:fldChar w:fldCharType="separate"/>
      </w:r>
      <w:r w:rsidRPr="00715A3E">
        <w:fldChar w:fldCharType="end"/>
      </w:r>
      <w:bookmarkEnd w:id="3"/>
      <w:r w:rsidR="00965C73" w:rsidRPr="00715A3E">
        <w:rPr>
          <w:rFonts w:cs="Arial"/>
        </w:rPr>
        <w:t xml:space="preserve"> Other (please specify)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rsidTr="00965C73">
        <w:tc>
          <w:tcPr>
            <w:tcW w:w="7602" w:type="dxa"/>
            <w:tcBorders>
              <w:top w:val="nil"/>
              <w:left w:val="nil"/>
              <w:bottom w:val="single" w:sz="4" w:space="0" w:color="000000"/>
              <w:right w:val="nil"/>
            </w:tcBorders>
          </w:tcPr>
          <w:p w:rsidR="00965C73" w:rsidRPr="00715A3E" w:rsidRDefault="00965C73">
            <w:pPr>
              <w:jc w:val="both"/>
              <w:outlineLvl w:val="0"/>
              <w:rPr>
                <w:rFonts w:ascii="Courier" w:hAnsi="Courier" w:cs="Arial"/>
              </w:rPr>
            </w:pPr>
          </w:p>
        </w:tc>
      </w:tr>
    </w:tbl>
    <w:p w:rsidR="00965C73" w:rsidRPr="00715A3E" w:rsidRDefault="00965C73" w:rsidP="00D11A41">
      <w:pPr>
        <w:pStyle w:val="Normalnumberedlevel2"/>
      </w:pPr>
      <w:r w:rsidRPr="00715A3E">
        <w:t>Please provide a short description of your activity:</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rsidTr="009B5B4A">
        <w:tc>
          <w:tcPr>
            <w:tcW w:w="7602" w:type="dxa"/>
            <w:tcBorders>
              <w:top w:val="nil"/>
              <w:left w:val="nil"/>
              <w:bottom w:val="single" w:sz="4" w:space="0" w:color="auto"/>
              <w:right w:val="nil"/>
            </w:tcBorders>
          </w:tcPr>
          <w:p w:rsidR="00965C73" w:rsidRPr="00715A3E" w:rsidRDefault="00965C73">
            <w:pPr>
              <w:jc w:val="both"/>
              <w:outlineLvl w:val="0"/>
              <w:rPr>
                <w:rFonts w:ascii="Courier" w:hAnsi="Courier" w:cs="Arial"/>
              </w:rPr>
            </w:pPr>
          </w:p>
        </w:tc>
      </w:tr>
      <w:tr w:rsidR="009B5B4A" w:rsidRPr="00715A3E" w:rsidTr="009B5B4A">
        <w:tc>
          <w:tcPr>
            <w:tcW w:w="7602" w:type="dxa"/>
            <w:tcBorders>
              <w:top w:val="single" w:sz="4" w:space="0" w:color="auto"/>
              <w:left w:val="nil"/>
              <w:bottom w:val="single" w:sz="4" w:space="0" w:color="000000"/>
              <w:right w:val="nil"/>
            </w:tcBorders>
          </w:tcPr>
          <w:p w:rsidR="009B5B4A" w:rsidRPr="00715A3E" w:rsidRDefault="009B5B4A">
            <w:pPr>
              <w:jc w:val="both"/>
              <w:outlineLvl w:val="0"/>
              <w:rPr>
                <w:rFonts w:ascii="Courier" w:hAnsi="Courier" w:cs="Arial"/>
              </w:rPr>
            </w:pPr>
          </w:p>
        </w:tc>
      </w:tr>
    </w:tbl>
    <w:p w:rsidR="00BC4E31" w:rsidRPr="00715A3E" w:rsidRDefault="00965C73" w:rsidP="00D11A41">
      <w:pPr>
        <w:pStyle w:val="Normalnumberedlevel2"/>
      </w:pPr>
      <w:r w:rsidRPr="00715A3E">
        <w:t>Country where you</w:t>
      </w:r>
      <w:r w:rsidR="009B5B4A">
        <w:t xml:space="preserve"> are </w:t>
      </w:r>
      <w:r w:rsidRPr="00715A3E">
        <w:t xml:space="preserve">located: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rsidTr="00965C73">
        <w:tc>
          <w:tcPr>
            <w:tcW w:w="7602" w:type="dxa"/>
            <w:tcBorders>
              <w:top w:val="nil"/>
              <w:left w:val="nil"/>
              <w:bottom w:val="single" w:sz="4" w:space="0" w:color="000000"/>
              <w:right w:val="nil"/>
            </w:tcBorders>
          </w:tcPr>
          <w:p w:rsidR="00965C73" w:rsidRPr="00715A3E" w:rsidRDefault="00965C73">
            <w:pPr>
              <w:jc w:val="both"/>
              <w:outlineLvl w:val="0"/>
              <w:rPr>
                <w:rFonts w:ascii="Courier" w:hAnsi="Courier" w:cs="Arial"/>
              </w:rPr>
            </w:pPr>
          </w:p>
        </w:tc>
      </w:tr>
    </w:tbl>
    <w:p w:rsidR="00BC4E31" w:rsidRPr="00715A3E" w:rsidRDefault="00965C73" w:rsidP="00D11A41">
      <w:pPr>
        <w:pStyle w:val="Normalnumberedlevel2"/>
      </w:pPr>
      <w:r w:rsidRPr="00715A3E">
        <w:t>Contact details including e-mail address:</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965C73" w:rsidRPr="00715A3E" w:rsidTr="00965C73">
        <w:tc>
          <w:tcPr>
            <w:tcW w:w="7602" w:type="dxa"/>
            <w:tcBorders>
              <w:top w:val="nil"/>
              <w:left w:val="nil"/>
              <w:bottom w:val="single" w:sz="4" w:space="0" w:color="000000"/>
              <w:right w:val="nil"/>
            </w:tcBorders>
          </w:tcPr>
          <w:p w:rsidR="00965C73" w:rsidRPr="00715A3E" w:rsidRDefault="00965C73">
            <w:pPr>
              <w:jc w:val="both"/>
              <w:outlineLvl w:val="0"/>
              <w:rPr>
                <w:rFonts w:ascii="Courier" w:hAnsi="Courier" w:cs="Arial"/>
              </w:rPr>
            </w:pPr>
          </w:p>
        </w:tc>
      </w:tr>
      <w:tr w:rsidR="00965C73" w:rsidRPr="00715A3E" w:rsidTr="00965C73">
        <w:tc>
          <w:tcPr>
            <w:tcW w:w="7602"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r w:rsidR="00965C73" w:rsidRPr="00715A3E" w:rsidTr="00965C73">
        <w:tc>
          <w:tcPr>
            <w:tcW w:w="7602"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bl>
    <w:p w:rsidR="00965C73" w:rsidRPr="00715A3E" w:rsidRDefault="00965C73" w:rsidP="00D11A41">
      <w:pPr>
        <w:pStyle w:val="Normalnumberedlevel1"/>
      </w:pPr>
      <w:r w:rsidRPr="00715A3E">
        <w:t xml:space="preserve">EFRAG’s initial assessment of the </w:t>
      </w:r>
      <w:r w:rsidR="00F671B8">
        <w:t>Amendments</w:t>
      </w:r>
      <w:r w:rsidRPr="00715A3E">
        <w:t xml:space="preserve"> is that </w:t>
      </w:r>
      <w:r w:rsidR="009270F5">
        <w:t>they</w:t>
      </w:r>
      <w:r w:rsidR="009270F5" w:rsidRPr="00715A3E">
        <w:t xml:space="preserve"> </w:t>
      </w:r>
      <w:r w:rsidRPr="00715A3E">
        <w:t>meet the technical criteria for endorsement.</w:t>
      </w:r>
      <w:r w:rsidR="00DF2889" w:rsidRPr="00715A3E">
        <w:t xml:space="preserve"> </w:t>
      </w:r>
      <w:r w:rsidRPr="00715A3E">
        <w:t xml:space="preserve">In other words, </w:t>
      </w:r>
      <w:r w:rsidR="009270F5">
        <w:t>they</w:t>
      </w:r>
      <w:r w:rsidR="009B5B4A">
        <w:t xml:space="preserve"> are</w:t>
      </w:r>
      <w:r w:rsidR="009270F5">
        <w:t xml:space="preserve"> </w:t>
      </w:r>
      <w:r w:rsidRPr="00715A3E">
        <w:t xml:space="preserve">not contrary to the </w:t>
      </w:r>
      <w:r w:rsidR="003347D3" w:rsidRPr="009B5B4A">
        <w:t>principle of</w:t>
      </w:r>
      <w:r w:rsidR="00463F4F" w:rsidRPr="009B5B4A">
        <w:t xml:space="preserve"> </w:t>
      </w:r>
      <w:r w:rsidRPr="009B5B4A">
        <w:t xml:space="preserve">true and fair </w:t>
      </w:r>
      <w:r w:rsidR="003347D3" w:rsidRPr="009B5B4A">
        <w:t>view</w:t>
      </w:r>
      <w:r w:rsidR="00463F4F">
        <w:t xml:space="preserve"> </w:t>
      </w:r>
      <w:r w:rsidR="00F671B8">
        <w:t xml:space="preserve">and </w:t>
      </w:r>
      <w:r w:rsidR="00463F4F">
        <w:t>they</w:t>
      </w:r>
      <w:r w:rsidRPr="00715A3E">
        <w:t xml:space="preserve"> meet the criteria of understandability, relevance, reliability and comparability.</w:t>
      </w:r>
      <w:r w:rsidR="00DF2889" w:rsidRPr="00715A3E">
        <w:t xml:space="preserve"> </w:t>
      </w:r>
      <w:r w:rsidRPr="00715A3E">
        <w:t>EFRAG’s reasoning is set out in Appendix 2.</w:t>
      </w:r>
      <w:r w:rsidR="00DF2889" w:rsidRPr="00715A3E">
        <w:t xml:space="preserve"> </w:t>
      </w:r>
    </w:p>
    <w:p w:rsidR="004E05D3" w:rsidRDefault="00965C73" w:rsidP="0038694A">
      <w:pPr>
        <w:pStyle w:val="Normalnumberedlevel2"/>
      </w:pPr>
      <w:r w:rsidRPr="00715A3E">
        <w:t>Do you agree with this assessment?</w:t>
      </w:r>
    </w:p>
    <w:p w:rsidR="00965C73" w:rsidRPr="00715A3E" w:rsidRDefault="000E748E" w:rsidP="00965C73">
      <w:pPr>
        <w:keepNext/>
        <w:keepLines/>
        <w:ind w:left="1134"/>
        <w:jc w:val="both"/>
        <w:outlineLvl w:val="0"/>
        <w:rPr>
          <w:rFonts w:cs="Arial"/>
        </w:rPr>
      </w:pPr>
      <w:r w:rsidRPr="00715A3E">
        <w:rPr>
          <w:rFonts w:cs="Arial"/>
        </w:rPr>
        <w:fldChar w:fldCharType="begin">
          <w:ffData>
            <w:name w:val="Check1"/>
            <w:enabled/>
            <w:calcOnExit w:val="0"/>
            <w:checkBox>
              <w:sizeAuto/>
              <w:default w:val="0"/>
            </w:checkBox>
          </w:ffData>
        </w:fldChar>
      </w:r>
      <w:bookmarkStart w:id="4" w:name="Check1"/>
      <w:r w:rsidR="00965C73" w:rsidRPr="00715A3E">
        <w:rPr>
          <w:rFonts w:cs="Arial"/>
        </w:rPr>
        <w:instrText xml:space="preserve"> FORMCHECKBOX </w:instrText>
      </w:r>
      <w:r w:rsidR="00051A09">
        <w:rPr>
          <w:rFonts w:cs="Arial"/>
        </w:rPr>
      </w:r>
      <w:r w:rsidR="00051A09">
        <w:rPr>
          <w:rFonts w:cs="Arial"/>
        </w:rPr>
        <w:fldChar w:fldCharType="separate"/>
      </w:r>
      <w:r w:rsidRPr="00715A3E">
        <w:fldChar w:fldCharType="end"/>
      </w:r>
      <w:bookmarkEnd w:id="4"/>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Box>
          </w:ffData>
        </w:fldChar>
      </w:r>
      <w:bookmarkStart w:id="5" w:name="Check2"/>
      <w:r w:rsidR="00965C73" w:rsidRPr="00715A3E">
        <w:rPr>
          <w:rFonts w:cs="Arial"/>
        </w:rPr>
        <w:instrText xml:space="preserve"> FORMCHECKBOX </w:instrText>
      </w:r>
      <w:r w:rsidR="00051A09">
        <w:rPr>
          <w:rFonts w:cs="Arial"/>
        </w:rPr>
      </w:r>
      <w:r w:rsidR="00051A09">
        <w:rPr>
          <w:rFonts w:cs="Arial"/>
        </w:rPr>
        <w:fldChar w:fldCharType="separate"/>
      </w:r>
      <w:r w:rsidRPr="00715A3E">
        <w:fldChar w:fldCharType="end"/>
      </w:r>
      <w:bookmarkEnd w:id="5"/>
      <w:r w:rsidR="00965C73" w:rsidRPr="00715A3E">
        <w:rPr>
          <w:rFonts w:cs="Arial"/>
        </w:rPr>
        <w:t xml:space="preserve"> No</w:t>
      </w:r>
    </w:p>
    <w:p w:rsidR="00965C73" w:rsidRPr="00715A3E" w:rsidRDefault="00965C73" w:rsidP="0038694A">
      <w:pPr>
        <w:pStyle w:val="Normalnumberedlevel2"/>
        <w:numPr>
          <w:ilvl w:val="0"/>
          <w:numId w:val="0"/>
        </w:numPr>
        <w:ind w:left="1134"/>
      </w:pPr>
      <w:r w:rsidRPr="00715A3E">
        <w:t>If you do not, please explain why you do not agree and what you believe the implications of this should be for EFRAG’s endorsement advice.</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715A3E" w:rsidTr="00D52719">
        <w:tc>
          <w:tcPr>
            <w:tcW w:w="7602" w:type="dxa"/>
            <w:tcBorders>
              <w:top w:val="nil"/>
              <w:left w:val="nil"/>
              <w:bottom w:val="single" w:sz="4" w:space="0" w:color="000000"/>
              <w:right w:val="nil"/>
            </w:tcBorders>
          </w:tcPr>
          <w:p w:rsidR="00BF1441" w:rsidRPr="00715A3E" w:rsidRDefault="00BF1441" w:rsidP="00D52719">
            <w:pPr>
              <w:jc w:val="both"/>
              <w:outlineLvl w:val="0"/>
              <w:rPr>
                <w:rFonts w:ascii="Courier" w:hAnsi="Courier" w:cs="Arial"/>
              </w:rPr>
            </w:pPr>
          </w:p>
        </w:tc>
      </w:tr>
      <w:tr w:rsidR="00BF1441" w:rsidRPr="00715A3E" w:rsidTr="00D52719">
        <w:tc>
          <w:tcPr>
            <w:tcW w:w="7602" w:type="dxa"/>
            <w:tcBorders>
              <w:top w:val="single" w:sz="4" w:space="0" w:color="000000"/>
              <w:left w:val="nil"/>
              <w:bottom w:val="single" w:sz="4" w:space="0" w:color="000000"/>
              <w:right w:val="nil"/>
            </w:tcBorders>
          </w:tcPr>
          <w:p w:rsidR="00BF1441" w:rsidRPr="00715A3E" w:rsidRDefault="00BF1441" w:rsidP="00D52719">
            <w:pPr>
              <w:jc w:val="both"/>
              <w:outlineLvl w:val="0"/>
              <w:rPr>
                <w:rFonts w:ascii="Courier" w:hAnsi="Courier" w:cs="Arial"/>
              </w:rPr>
            </w:pPr>
          </w:p>
        </w:tc>
      </w:tr>
      <w:tr w:rsidR="00BF1441" w:rsidRPr="00715A3E" w:rsidTr="00D52719">
        <w:tc>
          <w:tcPr>
            <w:tcW w:w="7602" w:type="dxa"/>
            <w:tcBorders>
              <w:top w:val="single" w:sz="4" w:space="0" w:color="000000"/>
              <w:left w:val="nil"/>
              <w:bottom w:val="single" w:sz="4" w:space="0" w:color="000000"/>
              <w:right w:val="nil"/>
            </w:tcBorders>
          </w:tcPr>
          <w:p w:rsidR="00BF1441" w:rsidRPr="00715A3E" w:rsidRDefault="00BF1441" w:rsidP="00D52719">
            <w:pPr>
              <w:jc w:val="both"/>
              <w:outlineLvl w:val="0"/>
              <w:rPr>
                <w:rFonts w:ascii="Courier" w:hAnsi="Courier" w:cs="Arial"/>
              </w:rPr>
            </w:pPr>
          </w:p>
        </w:tc>
      </w:tr>
    </w:tbl>
    <w:p w:rsidR="004E05D3" w:rsidRDefault="00965C73" w:rsidP="0038694A">
      <w:pPr>
        <w:pStyle w:val="Normalnumberedlevel2"/>
      </w:pPr>
      <w:r w:rsidRPr="00715A3E">
        <w:t xml:space="preserve">Are there any issues that are not mentioned in Appendix 2 that you believe EFRAG should take into account in its technical evaluation of the </w:t>
      </w:r>
      <w:r w:rsidR="00F671B8">
        <w:t>Amendments</w:t>
      </w:r>
      <w:r w:rsidRPr="00715A3E">
        <w:t>?</w:t>
      </w:r>
      <w:r w:rsidR="00DF2889" w:rsidRPr="00715A3E">
        <w:t xml:space="preserve"> </w:t>
      </w:r>
      <w:r w:rsidRPr="00715A3E">
        <w:t>If there are, what are those issues and why do you believe they are relevant to the evaluation?</w:t>
      </w:r>
      <w:r w:rsidR="00DF2889" w:rsidRPr="00715A3E">
        <w:t xml:space="preserve"> </w:t>
      </w:r>
    </w:p>
    <w:tbl>
      <w:tblPr>
        <w:tblW w:w="0" w:type="auto"/>
        <w:tblInd w:w="1129"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02"/>
      </w:tblGrid>
      <w:tr w:rsidR="00BF1441" w:rsidRPr="00715A3E" w:rsidTr="00D52719">
        <w:tc>
          <w:tcPr>
            <w:tcW w:w="7602" w:type="dxa"/>
            <w:tcBorders>
              <w:top w:val="nil"/>
              <w:left w:val="nil"/>
              <w:bottom w:val="single" w:sz="4" w:space="0" w:color="000000"/>
              <w:right w:val="nil"/>
            </w:tcBorders>
          </w:tcPr>
          <w:p w:rsidR="00BF1441" w:rsidRPr="00715A3E" w:rsidRDefault="00BF1441" w:rsidP="00D52719">
            <w:pPr>
              <w:jc w:val="both"/>
              <w:outlineLvl w:val="0"/>
              <w:rPr>
                <w:rFonts w:ascii="Courier" w:hAnsi="Courier" w:cs="Arial"/>
              </w:rPr>
            </w:pPr>
          </w:p>
        </w:tc>
      </w:tr>
      <w:tr w:rsidR="00BF1441" w:rsidRPr="00715A3E" w:rsidTr="00D52719">
        <w:tc>
          <w:tcPr>
            <w:tcW w:w="7602" w:type="dxa"/>
            <w:tcBorders>
              <w:top w:val="single" w:sz="4" w:space="0" w:color="000000"/>
              <w:left w:val="nil"/>
              <w:bottom w:val="single" w:sz="4" w:space="0" w:color="000000"/>
              <w:right w:val="nil"/>
            </w:tcBorders>
          </w:tcPr>
          <w:p w:rsidR="00BF1441" w:rsidRPr="00715A3E" w:rsidRDefault="00BF1441" w:rsidP="00D52719">
            <w:pPr>
              <w:jc w:val="both"/>
              <w:outlineLvl w:val="0"/>
              <w:rPr>
                <w:rFonts w:ascii="Courier" w:hAnsi="Courier" w:cs="Arial"/>
              </w:rPr>
            </w:pPr>
          </w:p>
        </w:tc>
      </w:tr>
      <w:tr w:rsidR="00BF1441" w:rsidRPr="00715A3E" w:rsidTr="00D52719">
        <w:tc>
          <w:tcPr>
            <w:tcW w:w="7602" w:type="dxa"/>
            <w:tcBorders>
              <w:top w:val="single" w:sz="4" w:space="0" w:color="000000"/>
              <w:left w:val="nil"/>
              <w:bottom w:val="single" w:sz="4" w:space="0" w:color="000000"/>
              <w:right w:val="nil"/>
            </w:tcBorders>
          </w:tcPr>
          <w:p w:rsidR="00BF1441" w:rsidRPr="00715A3E" w:rsidRDefault="00BF1441" w:rsidP="00D52719">
            <w:pPr>
              <w:jc w:val="both"/>
              <w:outlineLvl w:val="0"/>
              <w:rPr>
                <w:rFonts w:ascii="Courier" w:hAnsi="Courier" w:cs="Arial"/>
              </w:rPr>
            </w:pPr>
          </w:p>
        </w:tc>
      </w:tr>
    </w:tbl>
    <w:p w:rsidR="001175D6" w:rsidRPr="00A63F7C" w:rsidRDefault="001175D6" w:rsidP="00BD698F">
      <w:pPr>
        <w:pStyle w:val="Normalnumberedlevel1"/>
        <w:numPr>
          <w:ilvl w:val="0"/>
          <w:numId w:val="2"/>
        </w:numPr>
      </w:pPr>
      <w:r w:rsidRPr="00A63F7C">
        <w:t>EFRAG is also assessing the costs that are likely to arise for preparers and for users on implementation of the Amendments</w:t>
      </w:r>
      <w:r w:rsidRPr="00A63F7C">
        <w:rPr>
          <w:i/>
          <w:iCs/>
        </w:rPr>
        <w:t xml:space="preserve"> </w:t>
      </w:r>
      <w:r w:rsidRPr="00A63F7C">
        <w:t xml:space="preserve">in the EU, both in year one and in subsequent years. Some initial work has been carried out, and the responses to this Invitation to Comment will be used to complete the assessment. </w:t>
      </w:r>
    </w:p>
    <w:p w:rsidR="00583E63" w:rsidRDefault="001175D6" w:rsidP="001175D6">
      <w:pPr>
        <w:pStyle w:val="Normalnumberedlevel1"/>
        <w:numPr>
          <w:ilvl w:val="0"/>
          <w:numId w:val="0"/>
        </w:numPr>
        <w:ind w:left="567"/>
      </w:pPr>
      <w:r w:rsidRPr="00C07B0F">
        <w:t xml:space="preserve">The results of the initial assessment of costs are set out in paragraphs </w:t>
      </w:r>
      <w:r w:rsidR="00D0402F">
        <w:fldChar w:fldCharType="begin"/>
      </w:r>
      <w:r w:rsidR="00D0402F">
        <w:instrText xml:space="preserve"> REF _Ref394058021 \r \h  \* MERGEFORMAT </w:instrText>
      </w:r>
      <w:r w:rsidR="00D0402F">
        <w:fldChar w:fldCharType="separate"/>
      </w:r>
      <w:r w:rsidR="00491F6E">
        <w:t>2</w:t>
      </w:r>
      <w:r w:rsidR="00D0402F">
        <w:fldChar w:fldCharType="end"/>
      </w:r>
      <w:r w:rsidR="00BE5E27">
        <w:t>-</w:t>
      </w:r>
      <w:r w:rsidR="000E748E">
        <w:fldChar w:fldCharType="begin"/>
      </w:r>
      <w:r w:rsidR="004D055E">
        <w:instrText xml:space="preserve"> REF _Ref396375575 \r \h </w:instrText>
      </w:r>
      <w:r w:rsidR="000E748E">
        <w:fldChar w:fldCharType="separate"/>
      </w:r>
      <w:r w:rsidR="00491F6E">
        <w:t>9</w:t>
      </w:r>
      <w:r w:rsidR="000E748E">
        <w:fldChar w:fldCharType="end"/>
      </w:r>
      <w:r w:rsidRPr="00C07B0F">
        <w:t xml:space="preserve"> of Appendix 3. To summarise, EFRAG’s initial assessment is that </w:t>
      </w:r>
      <w:r w:rsidR="00EB0AB6" w:rsidRPr="00C07B0F">
        <w:t>the Amendments</w:t>
      </w:r>
      <w:r w:rsidR="00EB0AB6" w:rsidRPr="00C07B0F">
        <w:rPr>
          <w:i/>
          <w:iCs/>
        </w:rPr>
        <w:t xml:space="preserve"> </w:t>
      </w:r>
      <w:r w:rsidR="00EB0AB6" w:rsidRPr="00C07B0F">
        <w:t xml:space="preserve">will not result in </w:t>
      </w:r>
      <w:r w:rsidR="0051048F">
        <w:t xml:space="preserve">significant </w:t>
      </w:r>
      <w:r w:rsidR="00EB0AB6" w:rsidRPr="00C07B0F">
        <w:t xml:space="preserve">increased costs </w:t>
      </w:r>
      <w:r w:rsidR="000A70C0">
        <w:t>for</w:t>
      </w:r>
      <w:r w:rsidR="00EB0AB6" w:rsidRPr="00C07B0F">
        <w:t xml:space="preserve"> most preparers</w:t>
      </w:r>
      <w:r w:rsidR="003A1680" w:rsidRPr="00C07B0F">
        <w:t xml:space="preserve"> and users</w:t>
      </w:r>
      <w:r w:rsidR="00FE66B5">
        <w:t>, particularly when considering that</w:t>
      </w:r>
      <w:r w:rsidR="00EB0AB6" w:rsidRPr="00C07B0F">
        <w:t xml:space="preserve"> the </w:t>
      </w:r>
      <w:r w:rsidR="008C415E">
        <w:t>use of the equity method is</w:t>
      </w:r>
      <w:r w:rsidR="00EB0AB6" w:rsidRPr="00C07B0F">
        <w:t xml:space="preserve"> optional</w:t>
      </w:r>
      <w:r w:rsidR="00C854BA">
        <w:t xml:space="preserve"> in </w:t>
      </w:r>
      <w:r w:rsidR="00FE66B5">
        <w:t xml:space="preserve">the </w:t>
      </w:r>
      <w:r w:rsidR="00C854BA">
        <w:t xml:space="preserve">separate financial statements </w:t>
      </w:r>
      <w:r w:rsidR="008C415E">
        <w:t>prepared under</w:t>
      </w:r>
      <w:r w:rsidR="00C854BA">
        <w:t xml:space="preserve"> IFRS</w:t>
      </w:r>
      <w:r w:rsidR="00EB0AB6" w:rsidRPr="00C07B0F">
        <w:t>.</w:t>
      </w:r>
      <w:r w:rsidRPr="00C07B0F">
        <w:t xml:space="preserve"> </w:t>
      </w:r>
      <w:r w:rsidR="00EB0AB6" w:rsidRPr="00C07B0F">
        <w:t xml:space="preserve">However, preparers and </w:t>
      </w:r>
      <w:r w:rsidRPr="00C07B0F">
        <w:t xml:space="preserve">users may incur </w:t>
      </w:r>
      <w:r w:rsidR="00A051D8" w:rsidRPr="00C07B0F">
        <w:t>one-off</w:t>
      </w:r>
      <w:r w:rsidRPr="00C07B0F">
        <w:t xml:space="preserve"> costs </w:t>
      </w:r>
      <w:r w:rsidR="00583E63" w:rsidRPr="00C07B0F">
        <w:t xml:space="preserve">when an entity opts to change from </w:t>
      </w:r>
      <w:r w:rsidR="00C854BA">
        <w:t>‘</w:t>
      </w:r>
      <w:r w:rsidR="00583E63" w:rsidRPr="00C07B0F">
        <w:t>cost</w:t>
      </w:r>
      <w:r w:rsidR="00C854BA">
        <w:t>’</w:t>
      </w:r>
      <w:r w:rsidR="00583E63" w:rsidRPr="00C07B0F">
        <w:t xml:space="preserve"> or </w:t>
      </w:r>
      <w:r w:rsidR="00C854BA">
        <w:t>‘</w:t>
      </w:r>
      <w:r w:rsidR="00583E63" w:rsidRPr="00C07B0F">
        <w:t>fair value</w:t>
      </w:r>
      <w:r w:rsidR="00C854BA">
        <w:t>’ to</w:t>
      </w:r>
      <w:r w:rsidR="00583E63" w:rsidRPr="00C07B0F">
        <w:t xml:space="preserve"> </w:t>
      </w:r>
      <w:r w:rsidR="00C854BA">
        <w:t>‘</w:t>
      </w:r>
      <w:r w:rsidR="00583E63" w:rsidRPr="00C07B0F">
        <w:t>equity method</w:t>
      </w:r>
      <w:r w:rsidR="00C854BA">
        <w:t>’</w:t>
      </w:r>
      <w:r w:rsidR="00583E63" w:rsidRPr="00C07B0F">
        <w:t xml:space="preserve"> and applies that change retrospectively.</w:t>
      </w:r>
    </w:p>
    <w:p w:rsidR="00965C73" w:rsidRPr="00715A3E" w:rsidRDefault="00965C73" w:rsidP="00715A3E">
      <w:pPr>
        <w:ind w:left="567"/>
        <w:rPr>
          <w:rFonts w:cs="Arial"/>
        </w:rPr>
      </w:pPr>
      <w:r w:rsidRPr="00715A3E">
        <w:rPr>
          <w:rFonts w:cs="Arial"/>
        </w:rPr>
        <w:t>Do you agree with this assessment?</w:t>
      </w:r>
    </w:p>
    <w:p w:rsidR="00965C73" w:rsidRPr="00715A3E" w:rsidRDefault="000E748E" w:rsidP="00965C73">
      <w:pPr>
        <w:keepNext/>
        <w:keepLines/>
        <w:ind w:left="567"/>
        <w:jc w:val="both"/>
        <w:outlineLvl w:val="0"/>
        <w:rPr>
          <w:rFonts w:cs="Arial"/>
        </w:rPr>
      </w:pPr>
      <w:r w:rsidRPr="00715A3E">
        <w:rPr>
          <w:rFonts w:cs="Arial"/>
        </w:rPr>
        <w:fldChar w:fldCharType="begin">
          <w:ffData>
            <w:name w:val="Check1"/>
            <w:enabled/>
            <w:calcOnExit w:val="0"/>
            <w:checkBox>
              <w:sizeAuto/>
              <w:default w:val="0"/>
              <w:checked w:val="0"/>
            </w:checkBox>
          </w:ffData>
        </w:fldChar>
      </w:r>
      <w:r w:rsidR="00965C73"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ed w:val="0"/>
            </w:checkBox>
          </w:ffData>
        </w:fldChar>
      </w:r>
      <w:r w:rsidR="00965C73"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965C73" w:rsidRPr="00715A3E">
        <w:rPr>
          <w:rFonts w:cs="Arial"/>
        </w:rPr>
        <w:t xml:space="preserve"> No</w:t>
      </w:r>
    </w:p>
    <w:p w:rsidR="00BF1441" w:rsidRPr="00715A3E" w:rsidRDefault="00965C73" w:rsidP="00965C73">
      <w:pPr>
        <w:ind w:left="567"/>
        <w:jc w:val="both"/>
        <w:outlineLvl w:val="0"/>
        <w:rPr>
          <w:rFonts w:cs="Arial"/>
        </w:rPr>
      </w:pPr>
      <w:r w:rsidRPr="00715A3E">
        <w:rPr>
          <w:rFonts w:cs="Arial"/>
        </w:rPr>
        <w:t>If you do not, please explain why you do not and (if possible) explain broadly what you believe the costs involved will be?</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715A3E" w:rsidTr="00965C73">
        <w:tc>
          <w:tcPr>
            <w:tcW w:w="8164" w:type="dxa"/>
            <w:tcBorders>
              <w:top w:val="nil"/>
              <w:left w:val="nil"/>
              <w:bottom w:val="single" w:sz="4" w:space="0" w:color="000000"/>
              <w:right w:val="nil"/>
            </w:tcBorders>
          </w:tcPr>
          <w:p w:rsidR="00965C73" w:rsidRPr="00715A3E" w:rsidRDefault="00BF1441">
            <w:pPr>
              <w:jc w:val="both"/>
              <w:outlineLvl w:val="0"/>
              <w:rPr>
                <w:rFonts w:ascii="Courier" w:hAnsi="Courier" w:cs="Arial"/>
              </w:rPr>
            </w:pPr>
            <w:r w:rsidRPr="00715A3E">
              <w:rPr>
                <w:rFonts w:cs="Arial"/>
              </w:rPr>
              <w:tab/>
            </w:r>
          </w:p>
        </w:tc>
      </w:tr>
      <w:tr w:rsidR="00965C73" w:rsidRPr="00715A3E" w:rsidTr="00965C73">
        <w:tc>
          <w:tcPr>
            <w:tcW w:w="8164"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r w:rsidR="00965C73" w:rsidRPr="00715A3E" w:rsidTr="00965C73">
        <w:tc>
          <w:tcPr>
            <w:tcW w:w="8164"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bl>
    <w:p w:rsidR="004E05D3" w:rsidRPr="001415D5" w:rsidRDefault="001175D6" w:rsidP="00B30F89">
      <w:pPr>
        <w:pStyle w:val="Normalnumberedlevel1"/>
      </w:pPr>
      <w:r w:rsidRPr="00A63F7C">
        <w:t xml:space="preserve">In addition, EFRAG is assessing the benefits that are likely to be derived from the Amendments. The results of the initial assessment of benefits are set out in paragraphs </w:t>
      </w:r>
      <w:r w:rsidR="00D0402F">
        <w:fldChar w:fldCharType="begin"/>
      </w:r>
      <w:r w:rsidR="00D0402F">
        <w:instrText xml:space="preserve"> REF _Ref394058128 \r \h  \* MERGEFORMAT </w:instrText>
      </w:r>
      <w:r w:rsidR="00D0402F">
        <w:fldChar w:fldCharType="separate"/>
      </w:r>
      <w:r w:rsidR="00491F6E">
        <w:t>10</w:t>
      </w:r>
      <w:r w:rsidR="00D0402F">
        <w:fldChar w:fldCharType="end"/>
      </w:r>
      <w:r w:rsidR="00BE5E27">
        <w:t>-</w:t>
      </w:r>
      <w:r w:rsidR="000E748E">
        <w:fldChar w:fldCharType="begin"/>
      </w:r>
      <w:r w:rsidR="008C71AA">
        <w:instrText xml:space="preserve"> REF _Ref396403709 \r \h </w:instrText>
      </w:r>
      <w:r w:rsidR="000E748E">
        <w:fldChar w:fldCharType="separate"/>
      </w:r>
      <w:r w:rsidR="00491F6E">
        <w:t>13</w:t>
      </w:r>
      <w:r w:rsidR="000E748E">
        <w:fldChar w:fldCharType="end"/>
      </w:r>
      <w:r w:rsidRPr="00A63F7C">
        <w:t xml:space="preserve"> of Appendix 3. </w:t>
      </w:r>
      <w:r w:rsidRPr="00583E63">
        <w:t xml:space="preserve">EFRAG’s initial assessment </w:t>
      </w:r>
      <w:r w:rsidR="00B27857">
        <w:t>is that</w:t>
      </w:r>
      <w:r w:rsidR="005D732F">
        <w:t>,</w:t>
      </w:r>
      <w:r w:rsidR="00555971" w:rsidRPr="00A63F7C">
        <w:t xml:space="preserve"> </w:t>
      </w:r>
      <w:r w:rsidR="005D732F">
        <w:t xml:space="preserve">despite </w:t>
      </w:r>
      <w:r w:rsidR="005D732F" w:rsidRPr="00A63F7C">
        <w:t xml:space="preserve">the potential </w:t>
      </w:r>
      <w:r w:rsidR="002D6A6E">
        <w:t>impact</w:t>
      </w:r>
      <w:r w:rsidR="005D732F">
        <w:t xml:space="preserve"> on comparability</w:t>
      </w:r>
      <w:r w:rsidR="005D732F" w:rsidRPr="00A63F7C">
        <w:t xml:space="preserve"> of adding </w:t>
      </w:r>
      <w:r w:rsidR="008C71AA">
        <w:t>an</w:t>
      </w:r>
      <w:r w:rsidR="005D732F" w:rsidRPr="00A63F7C">
        <w:t xml:space="preserve"> accounting policy option</w:t>
      </w:r>
      <w:r w:rsidR="005D732F">
        <w:t>,</w:t>
      </w:r>
      <w:r w:rsidR="005D732F" w:rsidRPr="00A63F7C">
        <w:t xml:space="preserve"> </w:t>
      </w:r>
      <w:r w:rsidR="00555971" w:rsidRPr="00A63F7C">
        <w:t>users are likely to benefit f</w:t>
      </w:r>
      <w:r w:rsidR="005D732F">
        <w:t>rom the Amendments</w:t>
      </w:r>
      <w:r w:rsidR="00555971" w:rsidRPr="00A63F7C">
        <w:t xml:space="preserve"> as the information resulting from the Amendments will provide relevant and reliable information about the investment’s performance and economic value.</w:t>
      </w:r>
      <w:r w:rsidR="00555971">
        <w:t xml:space="preserve"> </w:t>
      </w:r>
      <w:r w:rsidR="00965C73" w:rsidRPr="001415D5">
        <w:t>Do you agree with this assessment?</w:t>
      </w:r>
      <w:r w:rsidR="00DF2889" w:rsidRPr="001415D5">
        <w:t xml:space="preserve"> </w:t>
      </w:r>
    </w:p>
    <w:p w:rsidR="004E05D3" w:rsidRDefault="000E748E">
      <w:pPr>
        <w:keepNext/>
        <w:keepLines/>
        <w:ind w:firstLine="567"/>
        <w:jc w:val="both"/>
        <w:outlineLvl w:val="0"/>
        <w:rPr>
          <w:rFonts w:cs="Arial"/>
        </w:rPr>
      </w:pPr>
      <w:r w:rsidRPr="00715A3E">
        <w:rPr>
          <w:rFonts w:cs="Arial"/>
        </w:rPr>
        <w:fldChar w:fldCharType="begin">
          <w:ffData>
            <w:name w:val="Check1"/>
            <w:enabled/>
            <w:calcOnExit w:val="0"/>
            <w:checkBox>
              <w:sizeAuto/>
              <w:default w:val="0"/>
            </w:checkBox>
          </w:ffData>
        </w:fldChar>
      </w:r>
      <w:r w:rsidR="00965C73"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Box>
          </w:ffData>
        </w:fldChar>
      </w:r>
      <w:r w:rsidR="00965C73"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965C73" w:rsidRPr="00715A3E">
        <w:rPr>
          <w:rFonts w:cs="Arial"/>
        </w:rPr>
        <w:t xml:space="preserve"> No</w:t>
      </w:r>
    </w:p>
    <w:p w:rsidR="004E05D3" w:rsidRDefault="00965C73">
      <w:pPr>
        <w:keepNext/>
        <w:ind w:left="540"/>
        <w:jc w:val="both"/>
        <w:outlineLvl w:val="0"/>
        <w:rPr>
          <w:rFonts w:cs="Arial"/>
        </w:rPr>
      </w:pPr>
      <w:r w:rsidRPr="00715A3E">
        <w:rPr>
          <w:rFonts w:cs="Arial"/>
        </w:rPr>
        <w:t>If you do not</w:t>
      </w:r>
      <w:r w:rsidR="009270F5">
        <w:rPr>
          <w:rFonts w:cs="Arial"/>
        </w:rPr>
        <w:t xml:space="preserve"> agree with this assessment</w:t>
      </w:r>
      <w:r w:rsidRPr="00715A3E">
        <w:rPr>
          <w:rFonts w:cs="Arial"/>
        </w:rPr>
        <w:t>, please</w:t>
      </w:r>
      <w:r w:rsidR="00D9059C">
        <w:rPr>
          <w:rFonts w:cs="Arial"/>
        </w:rPr>
        <w:t xml:space="preserve"> </w:t>
      </w:r>
      <w:r w:rsidR="003347D3" w:rsidRPr="00FE0D8B">
        <w:rPr>
          <w:rFonts w:cs="Arial"/>
        </w:rPr>
        <w:t>provide your arguments</w:t>
      </w:r>
      <w:r w:rsidRPr="00FE0D8B">
        <w:rPr>
          <w:rFonts w:cs="Arial"/>
        </w:rPr>
        <w:t xml:space="preserve"> and </w:t>
      </w:r>
      <w:r w:rsidR="003347D3" w:rsidRPr="00FE0D8B">
        <w:rPr>
          <w:rFonts w:cs="Arial"/>
        </w:rPr>
        <w:t>indicate how this should affect</w:t>
      </w:r>
      <w:r w:rsidR="00D9059C" w:rsidRPr="00FE0D8B">
        <w:rPr>
          <w:rFonts w:cs="Arial"/>
        </w:rPr>
        <w:t xml:space="preserve"> </w:t>
      </w:r>
      <w:r w:rsidRPr="00FE0D8B">
        <w:rPr>
          <w:rFonts w:cs="Arial"/>
        </w:rPr>
        <w:t>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715A3E" w:rsidTr="00965C73">
        <w:tc>
          <w:tcPr>
            <w:tcW w:w="8164" w:type="dxa"/>
            <w:tcBorders>
              <w:top w:val="nil"/>
              <w:left w:val="nil"/>
              <w:bottom w:val="single" w:sz="4" w:space="0" w:color="000000"/>
              <w:right w:val="nil"/>
            </w:tcBorders>
          </w:tcPr>
          <w:p w:rsidR="00965C73" w:rsidRPr="00715A3E" w:rsidRDefault="00965C73">
            <w:pPr>
              <w:jc w:val="both"/>
              <w:outlineLvl w:val="0"/>
              <w:rPr>
                <w:rFonts w:ascii="Courier" w:hAnsi="Courier" w:cs="Arial"/>
              </w:rPr>
            </w:pPr>
          </w:p>
        </w:tc>
      </w:tr>
      <w:tr w:rsidR="00965C73" w:rsidRPr="00715A3E" w:rsidTr="00965C73">
        <w:tc>
          <w:tcPr>
            <w:tcW w:w="8164"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r w:rsidR="00965C73" w:rsidRPr="00715A3E" w:rsidTr="00965C73">
        <w:tc>
          <w:tcPr>
            <w:tcW w:w="8164" w:type="dxa"/>
            <w:tcBorders>
              <w:top w:val="single" w:sz="4" w:space="0" w:color="000000"/>
              <w:left w:val="nil"/>
              <w:bottom w:val="single" w:sz="4" w:space="0" w:color="000000"/>
              <w:right w:val="nil"/>
            </w:tcBorders>
          </w:tcPr>
          <w:p w:rsidR="00965C73" w:rsidRPr="00715A3E" w:rsidRDefault="00965C73">
            <w:pPr>
              <w:jc w:val="both"/>
              <w:outlineLvl w:val="0"/>
              <w:rPr>
                <w:rFonts w:ascii="Courier" w:hAnsi="Courier" w:cs="Arial"/>
              </w:rPr>
            </w:pPr>
          </w:p>
        </w:tc>
      </w:tr>
    </w:tbl>
    <w:p w:rsidR="004E05D3" w:rsidRDefault="00EE2961" w:rsidP="00D11A41">
      <w:pPr>
        <w:pStyle w:val="Normalnumberedlevel1"/>
      </w:pPr>
      <w:r w:rsidRPr="0091689C">
        <w:lastRenderedPageBreak/>
        <w:t>EFRAG</w:t>
      </w:r>
      <w:r w:rsidR="005C618F">
        <w:t>’s initial assessment is</w:t>
      </w:r>
      <w:r w:rsidRPr="0091689C">
        <w:t xml:space="preserve"> that the benefits to be derived from implementing the </w:t>
      </w:r>
      <w:r w:rsidR="00F671B8">
        <w:t>Amendments</w:t>
      </w:r>
      <w:r w:rsidRPr="0091689C">
        <w:t xml:space="preserve"> in the EU </w:t>
      </w:r>
      <w:r w:rsidR="003347D3" w:rsidRPr="003347D3">
        <w:t xml:space="preserve">as described in paragraph 4 above are likely to </w:t>
      </w:r>
      <w:r w:rsidR="00DB0FC5" w:rsidRPr="00FE0D8B">
        <w:t>outweigh</w:t>
      </w:r>
      <w:r w:rsidR="003347D3" w:rsidRPr="00FE0D8B">
        <w:t xml:space="preserve"> the</w:t>
      </w:r>
      <w:r w:rsidR="003347D3" w:rsidRPr="003347D3">
        <w:t xml:space="preserve"> costs involved as described in paragraph 3 above.</w:t>
      </w:r>
      <w:r w:rsidRPr="0091689C">
        <w:t xml:space="preserve"> </w:t>
      </w:r>
    </w:p>
    <w:p w:rsidR="004E05D3" w:rsidRDefault="0078267C">
      <w:pPr>
        <w:keepNext/>
        <w:keepLines/>
        <w:ind w:firstLine="567"/>
        <w:jc w:val="both"/>
        <w:outlineLvl w:val="0"/>
        <w:rPr>
          <w:rFonts w:cs="Arial"/>
        </w:rPr>
      </w:pPr>
      <w:r w:rsidRPr="00715A3E">
        <w:rPr>
          <w:rFonts w:cs="Arial"/>
        </w:rPr>
        <w:t xml:space="preserve">Do you agree with this assessment? </w:t>
      </w:r>
    </w:p>
    <w:p w:rsidR="004E05D3" w:rsidRDefault="000E748E">
      <w:pPr>
        <w:keepNext/>
        <w:keepLines/>
        <w:ind w:firstLine="567"/>
        <w:jc w:val="both"/>
        <w:outlineLvl w:val="0"/>
        <w:rPr>
          <w:rFonts w:cs="Arial"/>
        </w:rPr>
      </w:pPr>
      <w:r w:rsidRPr="00715A3E">
        <w:rPr>
          <w:rFonts w:cs="Arial"/>
        </w:rPr>
        <w:fldChar w:fldCharType="begin">
          <w:ffData>
            <w:name w:val="Check1"/>
            <w:enabled/>
            <w:calcOnExit w:val="0"/>
            <w:checkBox>
              <w:sizeAuto/>
              <w:default w:val="0"/>
            </w:checkBox>
          </w:ffData>
        </w:fldChar>
      </w:r>
      <w:r w:rsidR="0078267C"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78267C" w:rsidRPr="00715A3E">
        <w:rPr>
          <w:rFonts w:cs="Arial"/>
        </w:rPr>
        <w:t xml:space="preserve"> Yes</w:t>
      </w:r>
      <w:r w:rsidR="0078267C" w:rsidRPr="00715A3E">
        <w:rPr>
          <w:rFonts w:cs="Arial"/>
        </w:rPr>
        <w:tab/>
      </w:r>
      <w:r w:rsidR="0078267C" w:rsidRPr="00715A3E">
        <w:rPr>
          <w:rFonts w:cs="Arial"/>
        </w:rPr>
        <w:tab/>
      </w:r>
      <w:r w:rsidR="0078267C" w:rsidRPr="00715A3E">
        <w:rPr>
          <w:rFonts w:cs="Arial"/>
        </w:rPr>
        <w:tab/>
      </w:r>
      <w:r w:rsidRPr="00715A3E">
        <w:rPr>
          <w:rFonts w:cs="Arial"/>
        </w:rPr>
        <w:fldChar w:fldCharType="begin">
          <w:ffData>
            <w:name w:val="Check2"/>
            <w:enabled/>
            <w:calcOnExit w:val="0"/>
            <w:checkBox>
              <w:sizeAuto/>
              <w:default w:val="0"/>
            </w:checkBox>
          </w:ffData>
        </w:fldChar>
      </w:r>
      <w:r w:rsidR="0078267C"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78267C" w:rsidRPr="00715A3E">
        <w:rPr>
          <w:rFonts w:cs="Arial"/>
        </w:rPr>
        <w:t xml:space="preserve"> No</w:t>
      </w:r>
    </w:p>
    <w:p w:rsidR="004E05D3" w:rsidRDefault="0078267C">
      <w:pPr>
        <w:keepNext/>
        <w:ind w:left="540"/>
        <w:jc w:val="both"/>
        <w:outlineLvl w:val="0"/>
        <w:rPr>
          <w:rFonts w:cs="Arial"/>
        </w:rPr>
      </w:pPr>
      <w:r w:rsidRPr="00715A3E">
        <w:rPr>
          <w:rFonts w:cs="Arial"/>
        </w:rPr>
        <w:t>If you do not</w:t>
      </w:r>
      <w:r w:rsidR="009270F5">
        <w:rPr>
          <w:rFonts w:cs="Arial"/>
        </w:rPr>
        <w:t xml:space="preserve"> agree with this assessment</w:t>
      </w:r>
      <w:r w:rsidRPr="00715A3E">
        <w:rPr>
          <w:rFonts w:cs="Arial"/>
        </w:rPr>
        <w:t xml:space="preserve">, please </w:t>
      </w:r>
      <w:r w:rsidR="003347D3" w:rsidRPr="00FE0D8B">
        <w:rPr>
          <w:rFonts w:cs="Arial"/>
        </w:rPr>
        <w:t>provide your arguments</w:t>
      </w:r>
      <w:r w:rsidR="009212BA" w:rsidRPr="00FE0D8B">
        <w:rPr>
          <w:rFonts w:cs="Arial"/>
        </w:rPr>
        <w:t xml:space="preserve"> </w:t>
      </w:r>
      <w:r w:rsidRPr="00FE0D8B">
        <w:rPr>
          <w:rFonts w:cs="Arial"/>
        </w:rPr>
        <w:t xml:space="preserve">and </w:t>
      </w:r>
      <w:r w:rsidR="003347D3" w:rsidRPr="00FE0D8B">
        <w:rPr>
          <w:rFonts w:cs="Arial"/>
        </w:rPr>
        <w:t>indicate how this should affect</w:t>
      </w:r>
      <w:r w:rsidR="009212BA" w:rsidRPr="00FE0D8B">
        <w:rPr>
          <w:rFonts w:cs="Arial"/>
        </w:rPr>
        <w:t xml:space="preserve"> </w:t>
      </w:r>
      <w:r w:rsidRPr="00FE0D8B">
        <w:rPr>
          <w:rFonts w:cs="Arial"/>
        </w:rPr>
        <w:t>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78267C" w:rsidRPr="00715A3E" w:rsidTr="00D52719">
        <w:tc>
          <w:tcPr>
            <w:tcW w:w="8164" w:type="dxa"/>
            <w:tcBorders>
              <w:top w:val="nil"/>
              <w:left w:val="nil"/>
              <w:bottom w:val="single" w:sz="4" w:space="0" w:color="000000"/>
              <w:right w:val="nil"/>
            </w:tcBorders>
          </w:tcPr>
          <w:p w:rsidR="0078267C" w:rsidRPr="00715A3E" w:rsidRDefault="0078267C" w:rsidP="00D52719">
            <w:pPr>
              <w:jc w:val="both"/>
              <w:outlineLvl w:val="0"/>
              <w:rPr>
                <w:rFonts w:ascii="Courier" w:hAnsi="Courier" w:cs="Arial"/>
              </w:rPr>
            </w:pPr>
          </w:p>
        </w:tc>
      </w:tr>
      <w:tr w:rsidR="0078267C" w:rsidRPr="00715A3E" w:rsidTr="00D52719">
        <w:tc>
          <w:tcPr>
            <w:tcW w:w="8164" w:type="dxa"/>
            <w:tcBorders>
              <w:top w:val="single" w:sz="4" w:space="0" w:color="000000"/>
              <w:left w:val="nil"/>
              <w:bottom w:val="single" w:sz="4" w:space="0" w:color="000000"/>
              <w:right w:val="nil"/>
            </w:tcBorders>
          </w:tcPr>
          <w:p w:rsidR="0078267C" w:rsidRPr="00715A3E" w:rsidRDefault="0078267C" w:rsidP="00D52719">
            <w:pPr>
              <w:jc w:val="both"/>
              <w:outlineLvl w:val="0"/>
              <w:rPr>
                <w:rFonts w:ascii="Courier" w:hAnsi="Courier" w:cs="Arial"/>
              </w:rPr>
            </w:pPr>
          </w:p>
        </w:tc>
      </w:tr>
      <w:tr w:rsidR="0078267C" w:rsidRPr="00715A3E" w:rsidTr="00D52719">
        <w:tc>
          <w:tcPr>
            <w:tcW w:w="8164" w:type="dxa"/>
            <w:tcBorders>
              <w:top w:val="single" w:sz="4" w:space="0" w:color="000000"/>
              <w:left w:val="nil"/>
              <w:bottom w:val="single" w:sz="4" w:space="0" w:color="000000"/>
              <w:right w:val="nil"/>
            </w:tcBorders>
          </w:tcPr>
          <w:p w:rsidR="0078267C" w:rsidRPr="00715A3E" w:rsidRDefault="0078267C" w:rsidP="00D52719">
            <w:pPr>
              <w:jc w:val="both"/>
              <w:outlineLvl w:val="0"/>
              <w:rPr>
                <w:rFonts w:ascii="Courier" w:hAnsi="Courier" w:cs="Arial"/>
              </w:rPr>
            </w:pPr>
          </w:p>
        </w:tc>
      </w:tr>
    </w:tbl>
    <w:p w:rsidR="00095113" w:rsidRPr="00E857FF" w:rsidRDefault="00095113" w:rsidP="00095113">
      <w:pPr>
        <w:pStyle w:val="Normalnumberedlevel1"/>
      </w:pPr>
      <w:r w:rsidRPr="00E857FF">
        <w:t>EFRAG is unaware of any reason to believe that it is not conducive to the European public good to adopt the Amendments.</w:t>
      </w:r>
    </w:p>
    <w:p w:rsidR="00095113" w:rsidRPr="00E857FF" w:rsidRDefault="00095113" w:rsidP="009E6F17">
      <w:pPr>
        <w:pStyle w:val="Normalnumberedlevel2"/>
        <w:numPr>
          <w:ilvl w:val="0"/>
          <w:numId w:val="0"/>
        </w:numPr>
        <w:ind w:left="567"/>
      </w:pPr>
      <w:r w:rsidRPr="00E857FF">
        <w:t>Are you aware of any reason to believe that it is not conducive to the European public good to adopt the Amendments?</w:t>
      </w:r>
    </w:p>
    <w:p w:rsidR="00095113" w:rsidRPr="00095113" w:rsidRDefault="000E748E" w:rsidP="00095113">
      <w:pPr>
        <w:pStyle w:val="Normalnumberedlevel1"/>
        <w:keepNext/>
        <w:keepLines/>
        <w:numPr>
          <w:ilvl w:val="0"/>
          <w:numId w:val="0"/>
        </w:numPr>
        <w:ind w:left="567"/>
        <w:outlineLvl w:val="0"/>
      </w:pPr>
      <w:r w:rsidRPr="00095113">
        <w:fldChar w:fldCharType="begin">
          <w:ffData>
            <w:name w:val="Check1"/>
            <w:enabled/>
            <w:calcOnExit w:val="0"/>
            <w:checkBox>
              <w:sizeAuto/>
              <w:default w:val="0"/>
            </w:checkBox>
          </w:ffData>
        </w:fldChar>
      </w:r>
      <w:r w:rsidR="00095113" w:rsidRPr="00095113">
        <w:instrText xml:space="preserve"> FORMCHECKBOX </w:instrText>
      </w:r>
      <w:r w:rsidR="00051A09">
        <w:fldChar w:fldCharType="separate"/>
      </w:r>
      <w:r w:rsidRPr="00095113">
        <w:fldChar w:fldCharType="end"/>
      </w:r>
      <w:r w:rsidR="00095113" w:rsidRPr="00095113">
        <w:t xml:space="preserve"> Yes</w:t>
      </w:r>
      <w:r w:rsidR="00095113" w:rsidRPr="00095113">
        <w:tab/>
      </w:r>
      <w:r w:rsidR="00095113" w:rsidRPr="00095113">
        <w:tab/>
      </w:r>
      <w:r w:rsidR="00095113" w:rsidRPr="00095113">
        <w:tab/>
      </w:r>
      <w:r w:rsidRPr="00095113">
        <w:fldChar w:fldCharType="begin">
          <w:ffData>
            <w:name w:val="Check2"/>
            <w:enabled/>
            <w:calcOnExit w:val="0"/>
            <w:checkBox>
              <w:sizeAuto/>
              <w:default w:val="0"/>
            </w:checkBox>
          </w:ffData>
        </w:fldChar>
      </w:r>
      <w:r w:rsidR="00095113" w:rsidRPr="00095113">
        <w:instrText xml:space="preserve"> FORMCHECKBOX </w:instrText>
      </w:r>
      <w:r w:rsidR="00051A09">
        <w:fldChar w:fldCharType="separate"/>
      </w:r>
      <w:r w:rsidRPr="00095113">
        <w:fldChar w:fldCharType="end"/>
      </w:r>
      <w:r w:rsidR="00095113" w:rsidRPr="00095113">
        <w:t xml:space="preserve"> No</w:t>
      </w:r>
    </w:p>
    <w:p w:rsidR="00095113" w:rsidRPr="00E857FF" w:rsidRDefault="00095113" w:rsidP="00095113">
      <w:pPr>
        <w:pStyle w:val="Normalnumberedlevel1"/>
        <w:keepNext/>
        <w:numPr>
          <w:ilvl w:val="0"/>
          <w:numId w:val="0"/>
        </w:numPr>
        <w:ind w:left="567"/>
        <w:outlineLvl w:val="0"/>
      </w:pPr>
      <w:r w:rsidRPr="00E857FF">
        <w:t>If yes, please provide your reasons.</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095113" w:rsidRPr="00715A3E" w:rsidTr="00A53B29">
        <w:tc>
          <w:tcPr>
            <w:tcW w:w="8164" w:type="dxa"/>
            <w:tcBorders>
              <w:top w:val="nil"/>
              <w:left w:val="nil"/>
              <w:bottom w:val="single" w:sz="4" w:space="0" w:color="000000"/>
              <w:right w:val="nil"/>
            </w:tcBorders>
          </w:tcPr>
          <w:p w:rsidR="00095113" w:rsidRPr="00715A3E" w:rsidRDefault="00095113" w:rsidP="00A53B29">
            <w:pPr>
              <w:jc w:val="both"/>
              <w:outlineLvl w:val="0"/>
              <w:rPr>
                <w:rFonts w:ascii="Courier" w:hAnsi="Courier" w:cs="Arial"/>
              </w:rPr>
            </w:pPr>
          </w:p>
        </w:tc>
      </w:tr>
      <w:tr w:rsidR="00095113" w:rsidRPr="00715A3E" w:rsidTr="00A53B29">
        <w:tc>
          <w:tcPr>
            <w:tcW w:w="8164" w:type="dxa"/>
            <w:tcBorders>
              <w:top w:val="single" w:sz="4" w:space="0" w:color="000000"/>
              <w:left w:val="nil"/>
              <w:bottom w:val="single" w:sz="4" w:space="0" w:color="000000"/>
              <w:right w:val="nil"/>
            </w:tcBorders>
          </w:tcPr>
          <w:p w:rsidR="00095113" w:rsidRPr="00715A3E" w:rsidRDefault="00095113" w:rsidP="00A53B29">
            <w:pPr>
              <w:jc w:val="both"/>
              <w:outlineLvl w:val="0"/>
              <w:rPr>
                <w:rFonts w:ascii="Courier" w:hAnsi="Courier" w:cs="Arial"/>
              </w:rPr>
            </w:pPr>
          </w:p>
        </w:tc>
      </w:tr>
      <w:tr w:rsidR="00095113" w:rsidRPr="00715A3E" w:rsidTr="00A53B29">
        <w:tc>
          <w:tcPr>
            <w:tcW w:w="8164" w:type="dxa"/>
            <w:tcBorders>
              <w:top w:val="single" w:sz="4" w:space="0" w:color="000000"/>
              <w:left w:val="nil"/>
              <w:bottom w:val="single" w:sz="4" w:space="0" w:color="000000"/>
              <w:right w:val="nil"/>
            </w:tcBorders>
          </w:tcPr>
          <w:p w:rsidR="00095113" w:rsidRPr="00715A3E" w:rsidRDefault="00095113" w:rsidP="00A53B29">
            <w:pPr>
              <w:jc w:val="both"/>
              <w:outlineLvl w:val="0"/>
              <w:rPr>
                <w:rFonts w:ascii="Courier" w:hAnsi="Courier" w:cs="Arial"/>
              </w:rPr>
            </w:pPr>
          </w:p>
        </w:tc>
      </w:tr>
    </w:tbl>
    <w:p w:rsidR="0051048F" w:rsidRDefault="0051048F" w:rsidP="00E857FF">
      <w:pPr>
        <w:pStyle w:val="Normalnumberedlevel1"/>
        <w:numPr>
          <w:ilvl w:val="0"/>
          <w:numId w:val="0"/>
        </w:numPr>
        <w:ind w:left="567"/>
      </w:pPr>
    </w:p>
    <w:p w:rsidR="003B0DC2" w:rsidRPr="00715A3E" w:rsidRDefault="00965C73" w:rsidP="003B0DC2">
      <w:pPr>
        <w:pStyle w:val="Normalnumberedlevel1"/>
      </w:pPr>
      <w:r w:rsidRPr="00715A3E">
        <w:t xml:space="preserve">EFRAG is not aware of any other factors that should be taken into account in reaching a decision as to what endorsement advice it should give the European Commission on the </w:t>
      </w:r>
      <w:r w:rsidR="006D4C68">
        <w:t>Amendments</w:t>
      </w:r>
      <w:r w:rsidRPr="00715A3E">
        <w:t>.</w:t>
      </w:r>
    </w:p>
    <w:p w:rsidR="00965C73" w:rsidRPr="00715A3E" w:rsidRDefault="00965C73" w:rsidP="00965C73">
      <w:pPr>
        <w:keepNext/>
        <w:ind w:left="567"/>
        <w:jc w:val="both"/>
        <w:outlineLvl w:val="0"/>
        <w:rPr>
          <w:rFonts w:cs="Arial"/>
        </w:rPr>
      </w:pPr>
      <w:r w:rsidRPr="00715A3E">
        <w:rPr>
          <w:rFonts w:cs="Arial"/>
        </w:rPr>
        <w:t>Do you agree that there are no other factors?</w:t>
      </w:r>
    </w:p>
    <w:p w:rsidR="00ED57F5" w:rsidRDefault="000E748E" w:rsidP="00095113">
      <w:pPr>
        <w:keepNext/>
        <w:ind w:left="567"/>
        <w:jc w:val="both"/>
        <w:outlineLvl w:val="0"/>
        <w:rPr>
          <w:rFonts w:cs="Arial"/>
        </w:rPr>
      </w:pPr>
      <w:r w:rsidRPr="00715A3E">
        <w:rPr>
          <w:rFonts w:cs="Arial"/>
        </w:rPr>
        <w:fldChar w:fldCharType="begin">
          <w:ffData>
            <w:name w:val="Check1"/>
            <w:enabled/>
            <w:calcOnExit w:val="0"/>
            <w:checkBox>
              <w:sizeAuto/>
              <w:default w:val="0"/>
            </w:checkBox>
          </w:ffData>
        </w:fldChar>
      </w:r>
      <w:r w:rsidR="00965C73"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965C73" w:rsidRPr="00715A3E">
        <w:rPr>
          <w:rFonts w:cs="Arial"/>
        </w:rPr>
        <w:t xml:space="preserve"> Yes</w:t>
      </w:r>
      <w:r w:rsidR="00965C73" w:rsidRPr="00715A3E">
        <w:rPr>
          <w:rFonts w:cs="Arial"/>
        </w:rPr>
        <w:tab/>
      </w:r>
      <w:r w:rsidR="00965C73" w:rsidRPr="00715A3E">
        <w:rPr>
          <w:rFonts w:cs="Arial"/>
        </w:rPr>
        <w:tab/>
      </w:r>
      <w:r w:rsidR="00965C73" w:rsidRPr="00715A3E">
        <w:rPr>
          <w:rFonts w:cs="Arial"/>
        </w:rPr>
        <w:tab/>
      </w:r>
      <w:r w:rsidRPr="00715A3E">
        <w:rPr>
          <w:rFonts w:cs="Arial"/>
        </w:rPr>
        <w:fldChar w:fldCharType="begin">
          <w:ffData>
            <w:name w:val="Check2"/>
            <w:enabled/>
            <w:calcOnExit w:val="0"/>
            <w:checkBox>
              <w:sizeAuto/>
              <w:default w:val="0"/>
            </w:checkBox>
          </w:ffData>
        </w:fldChar>
      </w:r>
      <w:r w:rsidR="00965C73" w:rsidRPr="00715A3E">
        <w:rPr>
          <w:rFonts w:cs="Arial"/>
        </w:rPr>
        <w:instrText xml:space="preserve"> FORMCHECKBOX </w:instrText>
      </w:r>
      <w:r w:rsidR="00051A09">
        <w:rPr>
          <w:rFonts w:cs="Arial"/>
        </w:rPr>
      </w:r>
      <w:r w:rsidR="00051A09">
        <w:rPr>
          <w:rFonts w:cs="Arial"/>
        </w:rPr>
        <w:fldChar w:fldCharType="separate"/>
      </w:r>
      <w:r w:rsidRPr="00715A3E">
        <w:rPr>
          <w:rFonts w:cs="Arial"/>
        </w:rPr>
        <w:fldChar w:fldCharType="end"/>
      </w:r>
      <w:r w:rsidR="00965C73" w:rsidRPr="00715A3E">
        <w:rPr>
          <w:rFonts w:cs="Arial"/>
        </w:rPr>
        <w:t xml:space="preserve"> No</w:t>
      </w:r>
    </w:p>
    <w:p w:rsidR="004E05D3" w:rsidRDefault="00965C73">
      <w:pPr>
        <w:ind w:left="540"/>
        <w:jc w:val="both"/>
        <w:outlineLvl w:val="0"/>
        <w:rPr>
          <w:rFonts w:cs="Arial"/>
        </w:rPr>
      </w:pPr>
      <w:r w:rsidRPr="00715A3E">
        <w:rPr>
          <w:rFonts w:cs="Arial"/>
        </w:rPr>
        <w:t>If you do not</w:t>
      </w:r>
      <w:r w:rsidR="009270F5">
        <w:rPr>
          <w:rFonts w:cs="Arial"/>
        </w:rPr>
        <w:t xml:space="preserve"> agree</w:t>
      </w:r>
      <w:r w:rsidRPr="00715A3E">
        <w:rPr>
          <w:rFonts w:cs="Arial"/>
        </w:rPr>
        <w:t xml:space="preserve">, please </w:t>
      </w:r>
      <w:r w:rsidR="003347D3" w:rsidRPr="000836BD">
        <w:rPr>
          <w:rFonts w:cs="Arial"/>
        </w:rPr>
        <w:t>provide your arguments</w:t>
      </w:r>
      <w:r w:rsidR="009212BA" w:rsidRPr="000836BD">
        <w:rPr>
          <w:rFonts w:cs="Arial"/>
        </w:rPr>
        <w:t xml:space="preserve"> </w:t>
      </w:r>
      <w:r w:rsidRPr="000836BD">
        <w:rPr>
          <w:rFonts w:cs="Arial"/>
        </w:rPr>
        <w:t xml:space="preserve">and </w:t>
      </w:r>
      <w:r w:rsidR="003347D3" w:rsidRPr="000836BD">
        <w:rPr>
          <w:rFonts w:cs="Arial"/>
        </w:rPr>
        <w:t>indicate how this should affect</w:t>
      </w:r>
      <w:r w:rsidR="009212BA" w:rsidRPr="000836BD">
        <w:rPr>
          <w:rFonts w:cs="Arial"/>
        </w:rPr>
        <w:t xml:space="preserve"> </w:t>
      </w:r>
      <w:r w:rsidRPr="000836BD">
        <w:rPr>
          <w:rFonts w:cs="Arial"/>
        </w:rPr>
        <w:t>EFRAG’s endorsement</w:t>
      </w:r>
      <w:r w:rsidRPr="00715A3E">
        <w:rPr>
          <w:rFonts w:cs="Arial"/>
        </w:rPr>
        <w:t xml:space="preserve"> advice? </w:t>
      </w:r>
    </w:p>
    <w:tbl>
      <w:tblPr>
        <w:tblW w:w="0" w:type="auto"/>
        <w:tblInd w:w="567" w:type="dxa"/>
        <w:tblBorders>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164"/>
      </w:tblGrid>
      <w:tr w:rsidR="00965C73" w:rsidRPr="00715A3E" w:rsidTr="00965C73">
        <w:tc>
          <w:tcPr>
            <w:tcW w:w="8164" w:type="dxa"/>
            <w:tcBorders>
              <w:top w:val="nil"/>
              <w:left w:val="nil"/>
              <w:bottom w:val="single" w:sz="4" w:space="0" w:color="000000"/>
              <w:right w:val="nil"/>
            </w:tcBorders>
          </w:tcPr>
          <w:p w:rsidR="00965C73" w:rsidRPr="00715A3E" w:rsidRDefault="00965C73" w:rsidP="00986D99">
            <w:pPr>
              <w:spacing w:after="120"/>
              <w:jc w:val="both"/>
              <w:outlineLvl w:val="0"/>
              <w:rPr>
                <w:rFonts w:ascii="Courier" w:hAnsi="Courier" w:cs="Arial"/>
              </w:rPr>
            </w:pPr>
          </w:p>
        </w:tc>
      </w:tr>
      <w:tr w:rsidR="00965C73" w:rsidRPr="00715A3E" w:rsidTr="0083373A">
        <w:tc>
          <w:tcPr>
            <w:tcW w:w="8164" w:type="dxa"/>
            <w:tcBorders>
              <w:top w:val="single" w:sz="4" w:space="0" w:color="000000"/>
              <w:left w:val="nil"/>
              <w:bottom w:val="single" w:sz="4" w:space="0" w:color="000000"/>
              <w:right w:val="nil"/>
            </w:tcBorders>
          </w:tcPr>
          <w:p w:rsidR="00965C73" w:rsidRPr="00715A3E" w:rsidRDefault="00965C73" w:rsidP="00986D99">
            <w:pPr>
              <w:spacing w:after="120"/>
              <w:jc w:val="both"/>
              <w:outlineLvl w:val="0"/>
              <w:rPr>
                <w:rFonts w:ascii="Courier" w:hAnsi="Courier" w:cs="Arial"/>
              </w:rPr>
            </w:pPr>
          </w:p>
        </w:tc>
      </w:tr>
      <w:tr w:rsidR="00965C73" w:rsidRPr="00715A3E" w:rsidTr="00E857FF">
        <w:tc>
          <w:tcPr>
            <w:tcW w:w="8164" w:type="dxa"/>
            <w:tcBorders>
              <w:top w:val="single" w:sz="4" w:space="0" w:color="000000"/>
              <w:left w:val="nil"/>
              <w:bottom w:val="single" w:sz="4" w:space="0" w:color="auto"/>
              <w:right w:val="nil"/>
            </w:tcBorders>
          </w:tcPr>
          <w:p w:rsidR="00965C73" w:rsidRPr="00715A3E" w:rsidRDefault="00965C73" w:rsidP="00986D99">
            <w:pPr>
              <w:spacing w:after="120"/>
              <w:jc w:val="both"/>
              <w:outlineLvl w:val="0"/>
              <w:rPr>
                <w:rFonts w:ascii="Courier" w:hAnsi="Courier" w:cs="Arial"/>
              </w:rPr>
            </w:pPr>
          </w:p>
        </w:tc>
      </w:tr>
    </w:tbl>
    <w:p w:rsidR="00E857FF" w:rsidRDefault="00E857FF" w:rsidP="00986D99">
      <w:pPr>
        <w:pStyle w:val="Heading2"/>
        <w:spacing w:before="0" w:after="0"/>
      </w:pPr>
    </w:p>
    <w:p w:rsidR="00E857FF" w:rsidRDefault="00E857FF">
      <w:pPr>
        <w:tabs>
          <w:tab w:val="clear" w:pos="567"/>
          <w:tab w:val="clear" w:pos="1134"/>
          <w:tab w:val="clear" w:pos="1701"/>
          <w:tab w:val="clear" w:pos="2268"/>
          <w:tab w:val="clear" w:pos="2835"/>
        </w:tabs>
        <w:spacing w:before="0" w:after="0"/>
        <w:rPr>
          <w:rFonts w:cs="Arial"/>
          <w:b/>
          <w:bCs/>
          <w:iCs/>
          <w:kern w:val="32"/>
          <w:szCs w:val="28"/>
          <w:lang w:eastAsia="en-US"/>
        </w:rPr>
      </w:pPr>
      <w:r>
        <w:br w:type="page"/>
      </w:r>
    </w:p>
    <w:p w:rsidR="004E05D3" w:rsidRDefault="00E15AA6" w:rsidP="00AC2906">
      <w:pPr>
        <w:pStyle w:val="Heading2"/>
      </w:pPr>
      <w:r w:rsidRPr="00715A3E">
        <w:lastRenderedPageBreak/>
        <w:t>A</w:t>
      </w:r>
      <w:r w:rsidR="00872F48" w:rsidRPr="00715A3E">
        <w:t>ppendix 1</w:t>
      </w:r>
    </w:p>
    <w:p w:rsidR="00937B3A" w:rsidRDefault="00AC2906" w:rsidP="00AC2906">
      <w:pPr>
        <w:pStyle w:val="Heading2"/>
      </w:pPr>
      <w:r>
        <w:t>A</w:t>
      </w:r>
      <w:r w:rsidR="000F2228" w:rsidRPr="00715A3E">
        <w:t xml:space="preserve"> summary of </w:t>
      </w:r>
      <w:r w:rsidR="002113A4" w:rsidRPr="00715A3E">
        <w:t xml:space="preserve">the </w:t>
      </w:r>
      <w:r w:rsidR="004A0CDD">
        <w:t>Amendments</w:t>
      </w:r>
    </w:p>
    <w:p w:rsidR="004E05D3" w:rsidRDefault="003347D3" w:rsidP="00AC2906">
      <w:pPr>
        <w:pStyle w:val="Heading2"/>
      </w:pPr>
      <w:r w:rsidRPr="003347D3">
        <w:t>Background</w:t>
      </w:r>
    </w:p>
    <w:p w:rsidR="00377B2D" w:rsidRDefault="00B01E44" w:rsidP="00560D62">
      <w:pPr>
        <w:pStyle w:val="Normalnumberedlevel1"/>
        <w:numPr>
          <w:ilvl w:val="0"/>
          <w:numId w:val="6"/>
        </w:numPr>
      </w:pPr>
      <w:r w:rsidRPr="00B01E44">
        <w:t>In the 2011 Agenda Consultation the IASB received requests to reinstate the</w:t>
      </w:r>
      <w:r w:rsidR="003B0DC2">
        <w:t xml:space="preserve"> option to use </w:t>
      </w:r>
      <w:r w:rsidRPr="00B01E44">
        <w:t>the equity method in separate financial statements</w:t>
      </w:r>
      <w:r w:rsidR="00CE4681">
        <w:t xml:space="preserve"> to account for investments in subsidiaries, joint venture</w:t>
      </w:r>
      <w:r w:rsidR="006112F7">
        <w:t>s</w:t>
      </w:r>
      <w:r w:rsidR="00CE4681">
        <w:t xml:space="preserve"> and associates</w:t>
      </w:r>
      <w:r w:rsidRPr="00B01E44">
        <w:t>.</w:t>
      </w:r>
      <w:r w:rsidR="001974E7">
        <w:t xml:space="preserve"> </w:t>
      </w:r>
      <w:r w:rsidR="008C71AA">
        <w:t>Those</w:t>
      </w:r>
      <w:r w:rsidR="001974E7">
        <w:t xml:space="preserve"> respondents noted</w:t>
      </w:r>
      <w:r w:rsidR="00377B2D">
        <w:t xml:space="preserve"> that the laws of some countries</w:t>
      </w:r>
      <w:r w:rsidR="00DF23E2">
        <w:t>, particularly in Latin America,</w:t>
      </w:r>
      <w:r w:rsidR="00377B2D">
        <w:t xml:space="preserve"> require</w:t>
      </w:r>
      <w:r w:rsidR="00DF23E2">
        <w:t xml:space="preserve"> </w:t>
      </w:r>
      <w:r w:rsidR="00377B2D">
        <w:t>listed companies to</w:t>
      </w:r>
      <w:r w:rsidR="00054B7A">
        <w:t xml:space="preserve"> use the equity method to accoun</w:t>
      </w:r>
      <w:r w:rsidR="00DF23E2">
        <w:t>t for</w:t>
      </w:r>
      <w:r w:rsidR="00054B7A">
        <w:t xml:space="preserve"> investments</w:t>
      </w:r>
      <w:r w:rsidR="00DF23E2">
        <w:t xml:space="preserve"> in subsidiaries, joint ventures and associates</w:t>
      </w:r>
      <w:r w:rsidR="00054B7A">
        <w:t xml:space="preserve"> in the</w:t>
      </w:r>
      <w:r w:rsidR="00DF23E2">
        <w:t>ir</w:t>
      </w:r>
      <w:r w:rsidR="00054B7A">
        <w:t xml:space="preserve"> separate financial statements.</w:t>
      </w:r>
      <w:r w:rsidR="001974E7">
        <w:t xml:space="preserve"> Th</w:t>
      </w:r>
      <w:r w:rsidR="00DF23E2">
        <w:t>ose respondents</w:t>
      </w:r>
      <w:r w:rsidR="001974E7">
        <w:t xml:space="preserve"> </w:t>
      </w:r>
      <w:r w:rsidR="003E2D2D">
        <w:t xml:space="preserve">also </w:t>
      </w:r>
      <w:r w:rsidR="001974E7">
        <w:t>noted that the use of the equity method would often be the only di</w:t>
      </w:r>
      <w:r w:rsidR="00F00228">
        <w:t>fference between separate financial statements</w:t>
      </w:r>
      <w:r w:rsidR="001974E7">
        <w:t xml:space="preserve"> prepared in accordance with IFRS and local regulations</w:t>
      </w:r>
      <w:r w:rsidR="003E2D2D">
        <w:t>.</w:t>
      </w:r>
    </w:p>
    <w:p w:rsidR="00B01E44" w:rsidRDefault="00653D85" w:rsidP="00D0402F">
      <w:pPr>
        <w:pStyle w:val="Normalnumberedlevel1"/>
        <w:numPr>
          <w:ilvl w:val="0"/>
          <w:numId w:val="6"/>
        </w:numPr>
      </w:pPr>
      <w:bookmarkStart w:id="6" w:name="_Ref401065950"/>
      <w:r w:rsidRPr="00D0402F">
        <w:t>Until 2005</w:t>
      </w:r>
      <w:r w:rsidR="003E2D2D" w:rsidRPr="00D0402F">
        <w:t xml:space="preserve"> entities were allowed to use the equity method to account for investments in subsidiaries, joint ventures and associates in their separate financial statements</w:t>
      </w:r>
      <w:r w:rsidRPr="00D0402F">
        <w:t xml:space="preserve">. </w:t>
      </w:r>
      <w:r w:rsidR="00B01E44" w:rsidRPr="00D0402F">
        <w:t xml:space="preserve">This option </w:t>
      </w:r>
      <w:r w:rsidRPr="00D0402F">
        <w:t>was</w:t>
      </w:r>
      <w:r w:rsidR="00B01E44" w:rsidRPr="00D0402F">
        <w:t xml:space="preserve"> removed with the revision of IAS 27 </w:t>
      </w:r>
      <w:r w:rsidR="00D0402F" w:rsidRPr="00D0402F">
        <w:rPr>
          <w:i/>
        </w:rPr>
        <w:t>Consolidated and Separate Financial Statements</w:t>
      </w:r>
      <w:r w:rsidR="00667691" w:rsidRPr="00D0402F">
        <w:rPr>
          <w:i/>
        </w:rPr>
        <w:t xml:space="preserve"> </w:t>
      </w:r>
      <w:r w:rsidR="00B01E44" w:rsidRPr="00D0402F">
        <w:t xml:space="preserve">and IAS 28 </w:t>
      </w:r>
      <w:r w:rsidR="00667691" w:rsidRPr="00D0402F">
        <w:rPr>
          <w:i/>
        </w:rPr>
        <w:t xml:space="preserve">Investments in Associates </w:t>
      </w:r>
      <w:r w:rsidR="00B01E44" w:rsidRPr="00D0402F">
        <w:t>in</w:t>
      </w:r>
      <w:r w:rsidR="00B01E44" w:rsidRPr="00B01E44">
        <w:t xml:space="preserve"> 2003. At the time, the IASB noted that the information provided by the equity method was already reflected in consolidated and other financial statements in which investments </w:t>
      </w:r>
      <w:r w:rsidR="008C71AA">
        <w:t>were</w:t>
      </w:r>
      <w:r w:rsidR="00B01E44" w:rsidRPr="00B01E44">
        <w:t xml:space="preserve"> accounted for under IAS 28, and that there was no need to provide the same information in separate financial statements.</w:t>
      </w:r>
      <w:bookmarkEnd w:id="6"/>
    </w:p>
    <w:p w:rsidR="00CC41B5" w:rsidRDefault="00CC41B5" w:rsidP="00BD698F">
      <w:pPr>
        <w:pStyle w:val="Normalnumberedlevel1"/>
        <w:numPr>
          <w:ilvl w:val="0"/>
          <w:numId w:val="6"/>
        </w:numPr>
      </w:pPr>
      <w:r w:rsidRPr="00CC41B5">
        <w:t xml:space="preserve">In December 2013, the IASB published for comment the Exposure Draft </w:t>
      </w:r>
      <w:r w:rsidRPr="008C415E">
        <w:rPr>
          <w:i/>
        </w:rPr>
        <w:t>ED/2013/10</w:t>
      </w:r>
      <w:r w:rsidRPr="00CC41B5">
        <w:t xml:space="preserve"> </w:t>
      </w:r>
      <w:r w:rsidRPr="00CC41B5">
        <w:rPr>
          <w:i/>
        </w:rPr>
        <w:t>Equity Method in Separate Financial Statements</w:t>
      </w:r>
      <w:r w:rsidR="003E01C4">
        <w:t xml:space="preserve"> and after </w:t>
      </w:r>
      <w:r>
        <w:t xml:space="preserve">discussing the </w:t>
      </w:r>
      <w:r w:rsidRPr="00CC41B5">
        <w:t>feedback</w:t>
      </w:r>
      <w:r w:rsidR="003E01C4">
        <w:t xml:space="preserve"> received</w:t>
      </w:r>
      <w:r>
        <w:t xml:space="preserve"> </w:t>
      </w:r>
      <w:r w:rsidR="003E01C4">
        <w:t xml:space="preserve">from constituents </w:t>
      </w:r>
      <w:r>
        <w:t xml:space="preserve">it decided </w:t>
      </w:r>
      <w:r w:rsidR="00175774">
        <w:t xml:space="preserve">to </w:t>
      </w:r>
      <w:r w:rsidR="00B13324">
        <w:t>proceed with an amendment</w:t>
      </w:r>
      <w:r w:rsidR="00587065">
        <w:t xml:space="preserve"> to</w:t>
      </w:r>
      <w:r w:rsidR="00175774">
        <w:t xml:space="preserve"> </w:t>
      </w:r>
      <w:r w:rsidR="003E01C4">
        <w:t>IAS 27</w:t>
      </w:r>
      <w:r w:rsidR="0007068F">
        <w:t xml:space="preserve"> which</w:t>
      </w:r>
      <w:r w:rsidR="00B13324">
        <w:t xml:space="preserve"> was published </w:t>
      </w:r>
      <w:r w:rsidR="00175774" w:rsidRPr="00643DB8">
        <w:t xml:space="preserve">on </w:t>
      </w:r>
      <w:r w:rsidR="00525298" w:rsidRPr="00583E63">
        <w:t>12</w:t>
      </w:r>
      <w:r w:rsidR="00175774" w:rsidRPr="00643DB8">
        <w:t xml:space="preserve"> August 2014.</w:t>
      </w:r>
    </w:p>
    <w:p w:rsidR="00CC41B5" w:rsidRDefault="00CC41B5" w:rsidP="00CC41B5">
      <w:pPr>
        <w:pStyle w:val="Heading2"/>
      </w:pPr>
      <w:r>
        <w:t>What has changed?</w:t>
      </w:r>
    </w:p>
    <w:p w:rsidR="00BE7BD6" w:rsidRDefault="003E01C4" w:rsidP="00BD698F">
      <w:pPr>
        <w:pStyle w:val="Normalnumberedlevel1"/>
        <w:numPr>
          <w:ilvl w:val="0"/>
          <w:numId w:val="6"/>
        </w:numPr>
      </w:pPr>
      <w:r>
        <w:t>T</w:t>
      </w:r>
      <w:r w:rsidR="00CC41B5">
        <w:t xml:space="preserve">he Amendments </w:t>
      </w:r>
      <w:r w:rsidR="003B0DC2">
        <w:t>permit</w:t>
      </w:r>
      <w:r>
        <w:t xml:space="preserve"> entities to</w:t>
      </w:r>
      <w:r w:rsidR="00B01E44">
        <w:t xml:space="preserve"> use</w:t>
      </w:r>
      <w:r>
        <w:t xml:space="preserve"> the</w:t>
      </w:r>
      <w:r w:rsidR="00B01E44">
        <w:t xml:space="preserve"> equity method</w:t>
      </w:r>
      <w:r w:rsidR="00853B1B">
        <w:t xml:space="preserve">, </w:t>
      </w:r>
      <w:r w:rsidR="00BE7BD6">
        <w:t>as described in IAS 28</w:t>
      </w:r>
      <w:r w:rsidR="00853B1B">
        <w:t>,</w:t>
      </w:r>
      <w:r w:rsidR="00BE7BD6">
        <w:t xml:space="preserve"> </w:t>
      </w:r>
      <w:r w:rsidR="00B01E44">
        <w:t xml:space="preserve">to account for </w:t>
      </w:r>
      <w:r>
        <w:t>investments in subsidiaries, joint</w:t>
      </w:r>
      <w:r w:rsidR="00587065">
        <w:t xml:space="preserve"> </w:t>
      </w:r>
      <w:r>
        <w:t>ventures and associate</w:t>
      </w:r>
      <w:r w:rsidR="003B0DC2">
        <w:t>s</w:t>
      </w:r>
      <w:r w:rsidR="00BE7BD6">
        <w:t xml:space="preserve"> in their separate financial statements.</w:t>
      </w:r>
      <w:r>
        <w:t xml:space="preserve"> </w:t>
      </w:r>
    </w:p>
    <w:p w:rsidR="00885557" w:rsidRDefault="00301CAB" w:rsidP="00BD698F">
      <w:pPr>
        <w:pStyle w:val="Normalnumberedlevel1"/>
        <w:numPr>
          <w:ilvl w:val="0"/>
          <w:numId w:val="6"/>
        </w:numPr>
      </w:pPr>
      <w:r>
        <w:t>Therefore</w:t>
      </w:r>
      <w:r w:rsidR="00BE7BD6">
        <w:t>, with the a</w:t>
      </w:r>
      <w:r w:rsidR="00BE7BD6" w:rsidRPr="00B01E44">
        <w:t>mendments</w:t>
      </w:r>
      <w:r w:rsidR="00C83E6B">
        <w:t>,</w:t>
      </w:r>
      <w:r w:rsidR="00BE7BD6" w:rsidRPr="00B01E44">
        <w:t xml:space="preserve"> an entity may opt to account for investments in subsidiaries, joint ventures and associates either at cost, in accordance with IAS 39 </w:t>
      </w:r>
      <w:r w:rsidR="003B0DC2" w:rsidRPr="003B0DC2">
        <w:rPr>
          <w:i/>
        </w:rPr>
        <w:t>Financial Instruments</w:t>
      </w:r>
      <w:r w:rsidR="006112F7">
        <w:rPr>
          <w:i/>
        </w:rPr>
        <w:t>: Recognition and Measurement</w:t>
      </w:r>
      <w:r w:rsidR="003B0DC2">
        <w:t xml:space="preserve"> </w:t>
      </w:r>
      <w:r w:rsidR="00BE7BD6" w:rsidRPr="00B01E44">
        <w:t xml:space="preserve">or using the equity method as described in IAS 28. </w:t>
      </w:r>
      <w:r w:rsidR="003B0DC2">
        <w:t>A</w:t>
      </w:r>
      <w:r w:rsidR="00BE7BD6" w:rsidRPr="00B01E44">
        <w:t>n entity will have to apply the same accounting</w:t>
      </w:r>
      <w:r w:rsidR="00885557">
        <w:t xml:space="preserve"> treatment</w:t>
      </w:r>
      <w:r w:rsidR="00BE7BD6" w:rsidRPr="00B01E44">
        <w:t xml:space="preserve"> for each category of investments.</w:t>
      </w:r>
    </w:p>
    <w:p w:rsidR="003B1543" w:rsidRDefault="003B0DC2" w:rsidP="00BD698F">
      <w:pPr>
        <w:pStyle w:val="Normalnumberedlevel1"/>
        <w:numPr>
          <w:ilvl w:val="0"/>
          <w:numId w:val="6"/>
        </w:numPr>
      </w:pPr>
      <w:r>
        <w:t>In</w:t>
      </w:r>
      <w:r w:rsidR="003B1543">
        <w:t xml:space="preserve"> allowing the use the equity method in separate financial statements, a number of additional amendments were made</w:t>
      </w:r>
      <w:r w:rsidR="00493AC9">
        <w:t xml:space="preserve"> to </w:t>
      </w:r>
      <w:r w:rsidR="003B1543">
        <w:t>IAS 27. In particular:</w:t>
      </w:r>
      <w:r w:rsidR="00B01E44" w:rsidRPr="00B01E44">
        <w:t xml:space="preserve"> </w:t>
      </w:r>
    </w:p>
    <w:p w:rsidR="003B1543" w:rsidRDefault="00BE7BD6" w:rsidP="00BD698F">
      <w:pPr>
        <w:pStyle w:val="Normalnumberedlevel2"/>
        <w:numPr>
          <w:ilvl w:val="1"/>
          <w:numId w:val="6"/>
        </w:numPr>
      </w:pPr>
      <w:proofErr w:type="gramStart"/>
      <w:r>
        <w:t>the</w:t>
      </w:r>
      <w:proofErr w:type="gramEnd"/>
      <w:r>
        <w:t xml:space="preserve"> </w:t>
      </w:r>
      <w:r w:rsidR="00B01E44" w:rsidRPr="00B01E44">
        <w:t>definition</w:t>
      </w:r>
      <w:r w:rsidR="00C73C0A">
        <w:t xml:space="preserve"> of separate financial statements</w:t>
      </w:r>
      <w:r w:rsidR="00B01E44" w:rsidRPr="00B01E44">
        <w:t xml:space="preserve"> </w:t>
      </w:r>
      <w:r w:rsidR="003B0DC2">
        <w:t>w</w:t>
      </w:r>
      <w:r w:rsidR="000F7D7E">
        <w:t>as</w:t>
      </w:r>
      <w:r w:rsidR="003B1543">
        <w:t xml:space="preserve"> changed to</w:t>
      </w:r>
      <w:r w:rsidR="00493AC9">
        <w:t xml:space="preserve"> incorporate</w:t>
      </w:r>
      <w:r w:rsidR="00C83E6B">
        <w:t xml:space="preserve"> the option to use</w:t>
      </w:r>
      <w:r w:rsidR="00493AC9">
        <w:t xml:space="preserve"> the equity method</w:t>
      </w:r>
      <w:r w:rsidR="00C83E6B">
        <w:t xml:space="preserve"> to account for investments in subsidiaries, </w:t>
      </w:r>
      <w:r w:rsidR="00986D99">
        <w:t>joint venture and associates.</w:t>
      </w:r>
    </w:p>
    <w:p w:rsidR="004D28BD" w:rsidRDefault="004D28BD" w:rsidP="00BD698F">
      <w:pPr>
        <w:pStyle w:val="Normalnumberedlevel2"/>
        <w:numPr>
          <w:ilvl w:val="1"/>
          <w:numId w:val="6"/>
        </w:numPr>
      </w:pPr>
      <w:r w:rsidRPr="009448BC">
        <w:t>the guidance</w:t>
      </w:r>
      <w:r>
        <w:t xml:space="preserve"> for</w:t>
      </w:r>
      <w:r w:rsidR="005505B6">
        <w:t xml:space="preserve"> </w:t>
      </w:r>
      <w:r>
        <w:t>investment entities</w:t>
      </w:r>
      <w:r w:rsidR="000F7D7E">
        <w:t xml:space="preserve"> </w:t>
      </w:r>
      <w:r w:rsidR="005505B6">
        <w:t xml:space="preserve">on changes in status (i.e. when a parent ceases to be an investment entity or becomes an investment entity) </w:t>
      </w:r>
      <w:r w:rsidR="000F7D7E">
        <w:t>was changed to</w:t>
      </w:r>
      <w:r>
        <w:t xml:space="preserve"> take</w:t>
      </w:r>
      <w:r w:rsidRPr="009448BC">
        <w:t xml:space="preserve"> into account the</w:t>
      </w:r>
      <w:r w:rsidR="000F7D7E">
        <w:t xml:space="preserve"> use</w:t>
      </w:r>
      <w:r w:rsidR="005505B6">
        <w:t xml:space="preserve"> of</w:t>
      </w:r>
      <w:r w:rsidR="00C83E6B">
        <w:t xml:space="preserve"> the equity method</w:t>
      </w:r>
      <w:r>
        <w:t>; and</w:t>
      </w:r>
    </w:p>
    <w:p w:rsidR="00493AC9" w:rsidRDefault="00C73C0A" w:rsidP="00BD698F">
      <w:pPr>
        <w:pStyle w:val="Normalnumberedlevel2"/>
        <w:numPr>
          <w:ilvl w:val="1"/>
          <w:numId w:val="6"/>
        </w:numPr>
      </w:pPr>
      <w:r>
        <w:t xml:space="preserve">IAS 27 </w:t>
      </w:r>
      <w:r w:rsidR="003B1543">
        <w:t xml:space="preserve">was changed to clarify </w:t>
      </w:r>
      <w:r>
        <w:t xml:space="preserve">that </w:t>
      </w:r>
      <w:r w:rsidR="00853B1B">
        <w:t>dividends shall be</w:t>
      </w:r>
      <w:r w:rsidRPr="00C73C0A">
        <w:t xml:space="preserve"> recognised in profit or loss unless the entity elects to use the e</w:t>
      </w:r>
      <w:r w:rsidR="00853B1B">
        <w:t>quity method in which case d</w:t>
      </w:r>
      <w:r w:rsidRPr="00C73C0A">
        <w:t>ividend</w:t>
      </w:r>
      <w:r w:rsidR="00853B1B">
        <w:t>s are</w:t>
      </w:r>
      <w:r w:rsidRPr="00C73C0A">
        <w:t xml:space="preserve"> recognised as a reduction from the carrying amount of the investment</w:t>
      </w:r>
      <w:r w:rsidR="004D28BD">
        <w:t>.</w:t>
      </w:r>
    </w:p>
    <w:p w:rsidR="00095113" w:rsidRDefault="000C2B35" w:rsidP="00BD698F">
      <w:pPr>
        <w:pStyle w:val="Normalnumberedlevel1"/>
        <w:numPr>
          <w:ilvl w:val="0"/>
          <w:numId w:val="6"/>
        </w:numPr>
      </w:pPr>
      <w:r>
        <w:lastRenderedPageBreak/>
        <w:t xml:space="preserve">The Amendments also </w:t>
      </w:r>
      <w:r w:rsidR="003522DE">
        <w:t>make changes to</w:t>
      </w:r>
      <w:r w:rsidRPr="009448BC">
        <w:t xml:space="preserve"> IFRS 1</w:t>
      </w:r>
      <w:r>
        <w:t xml:space="preserve"> </w:t>
      </w:r>
      <w:r w:rsidRPr="000C2B35">
        <w:rPr>
          <w:i/>
        </w:rPr>
        <w:t>First-time Adoption of International Financial Reporting Standards</w:t>
      </w:r>
      <w:r w:rsidRPr="009448BC">
        <w:t xml:space="preserve"> to allow a first-time adopter electing to use the equity method to apply the exemption for past </w:t>
      </w:r>
      <w:r>
        <w:t xml:space="preserve">business </w:t>
      </w:r>
      <w:r w:rsidRPr="009448BC">
        <w:t>combinations (Appendix C) to the acquisition of the investment</w:t>
      </w:r>
      <w:r>
        <w:t xml:space="preserve"> and </w:t>
      </w:r>
      <w:r w:rsidRPr="00EF7FD9">
        <w:t>to require a first-time adopter electing to use the equity method to apply paragraphs D16 and D17 of IFRS 1 when the investor and investee</w:t>
      </w:r>
      <w:r>
        <w:t xml:space="preserve"> have different transition dates.</w:t>
      </w:r>
      <w:r w:rsidR="00731E7C" w:rsidRPr="00731E7C">
        <w:t xml:space="preserve"> </w:t>
      </w:r>
    </w:p>
    <w:p w:rsidR="000C2B35" w:rsidRPr="00911F43" w:rsidRDefault="00731E7C" w:rsidP="00BD698F">
      <w:pPr>
        <w:pStyle w:val="Normalnumberedlevel1"/>
        <w:numPr>
          <w:ilvl w:val="0"/>
          <w:numId w:val="6"/>
        </w:numPr>
      </w:pPr>
      <w:r>
        <w:t xml:space="preserve">Finally, the Amendments encompass a consequential amendment to </w:t>
      </w:r>
      <w:r w:rsidR="00004C19">
        <w:t xml:space="preserve">the guidance on changes in ownership interest (i.e. if an entity’s ownership interest in an associate or a joint venture is reduced) </w:t>
      </w:r>
      <w:r w:rsidRPr="004A0CDD">
        <w:t>of IAS 28</w:t>
      </w:r>
      <w:r>
        <w:t>.</w:t>
      </w:r>
    </w:p>
    <w:p w:rsidR="00911F43" w:rsidRPr="009270F5" w:rsidRDefault="00911F43" w:rsidP="007E23DE">
      <w:pPr>
        <w:pStyle w:val="Heading2"/>
      </w:pPr>
      <w:r w:rsidRPr="00911F43">
        <w:t xml:space="preserve">When do the </w:t>
      </w:r>
      <w:r w:rsidR="004A0CDD">
        <w:t>Amendments</w:t>
      </w:r>
      <w:r w:rsidR="00E3614C" w:rsidRPr="00911F43">
        <w:t xml:space="preserve"> </w:t>
      </w:r>
      <w:r w:rsidRPr="00911F43">
        <w:t>become effective?</w:t>
      </w:r>
    </w:p>
    <w:p w:rsidR="00885557" w:rsidRDefault="00FC2CB0" w:rsidP="00BD698F">
      <w:pPr>
        <w:pStyle w:val="Normalnumberedlevel1"/>
        <w:numPr>
          <w:ilvl w:val="0"/>
          <w:numId w:val="6"/>
        </w:numPr>
      </w:pPr>
      <w:r>
        <w:t>The</w:t>
      </w:r>
      <w:r w:rsidR="0000778B">
        <w:t xml:space="preserve"> Amendments shall be applied retrospectively for annual periods beginning</w:t>
      </w:r>
      <w:r>
        <w:t xml:space="preserve"> </w:t>
      </w:r>
      <w:r w:rsidR="0000778B">
        <w:t>on or after</w:t>
      </w:r>
      <w:r w:rsidR="006141EA">
        <w:t xml:space="preserve"> 1 </w:t>
      </w:r>
      <w:r w:rsidR="006141EA" w:rsidRPr="006141EA">
        <w:t>January 2016</w:t>
      </w:r>
      <w:r w:rsidR="0000778B">
        <w:t xml:space="preserve"> with early adoption </w:t>
      </w:r>
      <w:r w:rsidR="00087E3F">
        <w:t>permitted</w:t>
      </w:r>
      <w:r w:rsidR="0000778B">
        <w:t>. I</w:t>
      </w:r>
      <w:r w:rsidR="00087E3F">
        <w:t>f an entity applies those amendments for an earlier period, it shall disclose that fact.</w:t>
      </w:r>
    </w:p>
    <w:p w:rsidR="00356DDD" w:rsidRDefault="00356DDD">
      <w:pPr>
        <w:tabs>
          <w:tab w:val="clear" w:pos="567"/>
          <w:tab w:val="clear" w:pos="1134"/>
          <w:tab w:val="clear" w:pos="1701"/>
          <w:tab w:val="clear" w:pos="2268"/>
          <w:tab w:val="clear" w:pos="2835"/>
        </w:tabs>
        <w:spacing w:before="0" w:after="0"/>
        <w:rPr>
          <w:rFonts w:cs="Arial"/>
          <w:b/>
          <w:bCs/>
          <w:iCs/>
          <w:kern w:val="32"/>
          <w:szCs w:val="28"/>
          <w:lang w:eastAsia="en-US"/>
        </w:rPr>
      </w:pPr>
      <w:r>
        <w:br w:type="page"/>
      </w:r>
    </w:p>
    <w:p w:rsidR="001175D6" w:rsidRPr="00A63F7C" w:rsidRDefault="001175D6" w:rsidP="001175D6">
      <w:pPr>
        <w:pStyle w:val="Heading2"/>
      </w:pPr>
      <w:r w:rsidRPr="00A63F7C">
        <w:lastRenderedPageBreak/>
        <w:t>Appendix 2</w:t>
      </w:r>
    </w:p>
    <w:p w:rsidR="001175D6" w:rsidRPr="00A63F7C" w:rsidRDefault="001175D6" w:rsidP="001175D6">
      <w:pPr>
        <w:pStyle w:val="Heading2"/>
      </w:pPr>
      <w:r w:rsidRPr="00A63F7C">
        <w:t>EFRAG’s Technical assessment of</w:t>
      </w:r>
      <w:r w:rsidR="00734281">
        <w:t xml:space="preserve"> the Amendments</w:t>
      </w:r>
      <w:r w:rsidRPr="00A63F7C">
        <w:t xml:space="preserve"> </w:t>
      </w:r>
      <w:r w:rsidR="00FD4FBB" w:rsidRPr="00A63F7C">
        <w:t>against</w:t>
      </w:r>
      <w:r w:rsidRPr="00A63F7C">
        <w:t xml:space="preserve"> the endorsement criteria</w:t>
      </w:r>
    </w:p>
    <w:p w:rsidR="001175D6" w:rsidRPr="00A63F7C" w:rsidRDefault="001175D6" w:rsidP="001175D6">
      <w:pPr>
        <w:rPr>
          <w:lang w:eastAsia="en-US"/>
        </w:rPr>
      </w:pPr>
    </w:p>
    <w:p w:rsidR="001175D6" w:rsidRPr="00A63F7C" w:rsidRDefault="001175D6" w:rsidP="001175D6">
      <w:pPr>
        <w:jc w:val="both"/>
        <w:rPr>
          <w:rStyle w:val="Emphasis"/>
        </w:rPr>
      </w:pPr>
      <w:r w:rsidRPr="00A63F7C">
        <w:rPr>
          <w:rStyle w:val="Emphasis"/>
        </w:rPr>
        <w:t xml:space="preserve">This appendix sets out the basis for the conclusions reached, and for the recommendation made, by </w:t>
      </w:r>
      <w:r w:rsidRPr="001175D6">
        <w:rPr>
          <w:rStyle w:val="Emphasis"/>
        </w:rPr>
        <w:t>EFRAG on</w:t>
      </w:r>
      <w:r w:rsidR="00734281">
        <w:rPr>
          <w:rStyle w:val="Emphasis"/>
        </w:rPr>
        <w:t xml:space="preserve"> the Amendments</w:t>
      </w:r>
      <w:r w:rsidR="00FD4FBB">
        <w:rPr>
          <w:sz w:val="24"/>
          <w:szCs w:val="24"/>
        </w:rPr>
        <w:t>.</w:t>
      </w:r>
    </w:p>
    <w:p w:rsidR="001175D6" w:rsidRPr="00A63F7C" w:rsidRDefault="001175D6" w:rsidP="001175D6">
      <w:pPr>
        <w:jc w:val="both"/>
        <w:rPr>
          <w:rStyle w:val="Emphasis"/>
        </w:rPr>
      </w:pPr>
      <w:r w:rsidRPr="00A63F7C">
        <w:rPr>
          <w:rStyle w:val="Emphasis"/>
        </w:rPr>
        <w:t>In its comment letters to the IASB, EFRAG points out that such letters are submitted in EFRAG’s capacity of contributing to the IASB’s due process. They do not necessarily indicate the conclusions that would be reached by EFRAG in its capacity of advising the European Commission on endorsement of the definitive IFRS in the European Union and European Economic Area.</w:t>
      </w:r>
    </w:p>
    <w:p w:rsidR="001175D6" w:rsidRPr="00A63F7C" w:rsidRDefault="001175D6" w:rsidP="001175D6">
      <w:pPr>
        <w:jc w:val="both"/>
        <w:rPr>
          <w:rFonts w:cs="Arial"/>
          <w:i/>
        </w:rPr>
      </w:pPr>
      <w:r w:rsidRPr="00A63F7C">
        <w:rPr>
          <w:rStyle w:val="Emphasis"/>
        </w:rPr>
        <w:t>In the latter capacity, EFRAG’s role is to make a recommendation about endorsement based on its assessment of the final IFRS or Interpretation against the technical criteria for the European endorsement, as currently defined. These are explicit criteria which have been designed specifically for application in the endorsement process, and therefore the conclusions reached on endorsement may be different from those arrived at by EFRAG in developing its comments on proposed IFRSs or Interpretations. Another reason for a difference is that EFRAG’s thinking may evolve</w:t>
      </w:r>
      <w:r w:rsidRPr="00A63F7C">
        <w:rPr>
          <w:rFonts w:cs="Arial"/>
          <w:i/>
        </w:rPr>
        <w:t>.</w:t>
      </w:r>
    </w:p>
    <w:p w:rsidR="001175D6" w:rsidRPr="00A63F7C" w:rsidRDefault="001175D6" w:rsidP="001175D6">
      <w:pPr>
        <w:pStyle w:val="Heading2"/>
      </w:pPr>
      <w:r w:rsidRPr="00A63F7C">
        <w:t>Does the accounting that results from the application of the Amendments meet the technical criteria for EU endorsement?</w:t>
      </w:r>
    </w:p>
    <w:p w:rsidR="001175D6" w:rsidRPr="00A63F7C" w:rsidRDefault="001175D6" w:rsidP="00BD698F">
      <w:pPr>
        <w:pStyle w:val="Normalnumberedlevel1"/>
        <w:numPr>
          <w:ilvl w:val="0"/>
          <w:numId w:val="11"/>
        </w:numPr>
      </w:pPr>
      <w:r w:rsidRPr="00A63F7C">
        <w:t>EFRAG has considered whether the Amendments</w:t>
      </w:r>
      <w:r w:rsidRPr="00AC152F">
        <w:rPr>
          <w:i/>
          <w:iCs/>
        </w:rPr>
        <w:t xml:space="preserve"> </w:t>
      </w:r>
      <w:r w:rsidRPr="00A63F7C">
        <w:t>meet the technical requirements of the European Parliament and of the Council on the application of international accounting standards, as set out in Regulation (EC) No 1606/2002, in other words that the Amendments:</w:t>
      </w:r>
    </w:p>
    <w:p w:rsidR="001175D6" w:rsidRPr="00A63F7C" w:rsidRDefault="001175D6" w:rsidP="00BD698F">
      <w:pPr>
        <w:pStyle w:val="Normalnumberedlevel2"/>
        <w:numPr>
          <w:ilvl w:val="1"/>
          <w:numId w:val="2"/>
        </w:numPr>
      </w:pPr>
      <w:r w:rsidRPr="00A63F7C">
        <w:t>are not contrary to the principle of ‘true and fair view’ set out in Article</w:t>
      </w:r>
      <w:r w:rsidR="003E1FB0">
        <w:t xml:space="preserve"> </w:t>
      </w:r>
      <w:r w:rsidRPr="00A63F7C">
        <w:t xml:space="preserve">4(3) of Council Directive 2013/34/EU; and </w:t>
      </w:r>
    </w:p>
    <w:p w:rsidR="001175D6" w:rsidRPr="00A63F7C" w:rsidRDefault="001175D6" w:rsidP="00BD698F">
      <w:pPr>
        <w:pStyle w:val="Normalnumberedlevel2"/>
        <w:numPr>
          <w:ilvl w:val="1"/>
          <w:numId w:val="2"/>
        </w:numPr>
      </w:pPr>
      <w:r w:rsidRPr="00A63F7C">
        <w:t>meet the criteria of understandability, relevance, reliability, and comparability required of the financial information needed for making economic decisions and assessing the stewardship of management.</w:t>
      </w:r>
    </w:p>
    <w:p w:rsidR="001175D6" w:rsidRPr="00A63F7C" w:rsidRDefault="001175D6" w:rsidP="00BD698F">
      <w:pPr>
        <w:pStyle w:val="Normalnumberedlevel1"/>
        <w:numPr>
          <w:ilvl w:val="0"/>
          <w:numId w:val="2"/>
        </w:numPr>
      </w:pPr>
      <w:r w:rsidRPr="00A63F7C">
        <w:t xml:space="preserve">EFRAG also considered, based only on evidence brought to its attention by constituents, whether it would be not conducive to the European public good to adopt the Amendments. </w:t>
      </w:r>
    </w:p>
    <w:p w:rsidR="001175D6" w:rsidRPr="00A63F7C" w:rsidRDefault="001175D6" w:rsidP="001175D6">
      <w:pPr>
        <w:pStyle w:val="Heading3"/>
      </w:pPr>
      <w:r w:rsidRPr="00A63F7C">
        <w:t>Relevance</w:t>
      </w:r>
      <w:r w:rsidRPr="00A63F7C" w:rsidDel="00B7388E">
        <w:t xml:space="preserve"> </w:t>
      </w:r>
    </w:p>
    <w:p w:rsidR="008E6629" w:rsidRDefault="008E6629" w:rsidP="00BD698F">
      <w:pPr>
        <w:pStyle w:val="Normalnumberedlevel1"/>
        <w:numPr>
          <w:ilvl w:val="0"/>
          <w:numId w:val="2"/>
        </w:numPr>
      </w:pPr>
      <w:bookmarkStart w:id="7" w:name="_Ref400622814"/>
      <w:r w:rsidRPr="008E6629">
        <w:t>Information is relevant when it influences the economic decisions of users by helping them evaluate past, present or future events or by confirming or correcting their past evaluations.</w:t>
      </w:r>
      <w:bookmarkEnd w:id="7"/>
      <w:r w:rsidRPr="008E6629">
        <w:t xml:space="preserve"> </w:t>
      </w:r>
    </w:p>
    <w:p w:rsidR="009E6F17" w:rsidRDefault="008E6629" w:rsidP="00BD698F">
      <w:pPr>
        <w:pStyle w:val="Normalnumberedlevel1"/>
        <w:numPr>
          <w:ilvl w:val="0"/>
          <w:numId w:val="2"/>
        </w:numPr>
      </w:pPr>
      <w:bookmarkStart w:id="8" w:name="_Ref398220294"/>
      <w:r>
        <w:t>EFRAG considered whether the Amendments</w:t>
      </w:r>
      <w:r w:rsidRPr="00B30F89">
        <w:rPr>
          <w:i/>
        </w:rPr>
        <w:t xml:space="preserve"> </w:t>
      </w:r>
      <w:r>
        <w:t>would result in the provision of relevant information – in other words, information that has predictive value, confirmatory value or both – or whether it would result in the omission of relevant information.</w:t>
      </w:r>
      <w:bookmarkEnd w:id="8"/>
      <w:r>
        <w:t xml:space="preserve"> </w:t>
      </w:r>
      <w:bookmarkStart w:id="9" w:name="_Ref398220457"/>
    </w:p>
    <w:p w:rsidR="00823EB1" w:rsidRDefault="001175D6" w:rsidP="009E6F17">
      <w:pPr>
        <w:pStyle w:val="Normalnumberedlevel1"/>
        <w:numPr>
          <w:ilvl w:val="0"/>
          <w:numId w:val="2"/>
        </w:numPr>
      </w:pPr>
      <w:bookmarkStart w:id="10" w:name="_Ref400633781"/>
      <w:r w:rsidRPr="00A63F7C">
        <w:t xml:space="preserve">EFRAG believes that the equity method </w:t>
      </w:r>
      <w:r w:rsidR="00734281">
        <w:t>has the benefit of allowing the incorporation, over time, of the results of an investee into the investor’s financial statements. Consequently, the use of the equity method</w:t>
      </w:r>
      <w:r>
        <w:t xml:space="preserve"> </w:t>
      </w:r>
      <w:r w:rsidRPr="00A63F7C">
        <w:t>provide</w:t>
      </w:r>
      <w:r w:rsidR="00734281">
        <w:t xml:space="preserve">s timely and relevant </w:t>
      </w:r>
      <w:r w:rsidRPr="00A63F7C">
        <w:t>information to users</w:t>
      </w:r>
      <w:r w:rsidR="00734281">
        <w:t xml:space="preserve"> about the investment’s performance and economic </w:t>
      </w:r>
      <w:r w:rsidR="00734281">
        <w:lastRenderedPageBreak/>
        <w:t>value.</w:t>
      </w:r>
      <w:r w:rsidR="00646A5A">
        <w:t xml:space="preserve"> </w:t>
      </w:r>
      <w:r w:rsidR="009E6F17" w:rsidRPr="009E6F17">
        <w:t xml:space="preserve">Furthermore, it is also assessed that the equity method can provide relevant information to users, particularly when observable inputs are not available to measure fair value and </w:t>
      </w:r>
      <w:r w:rsidR="00084A24">
        <w:t xml:space="preserve">the </w:t>
      </w:r>
      <w:r w:rsidR="009E6F17" w:rsidRPr="009E6F17">
        <w:t>cost method might not provide useful information about the income earned by an investor on an investment because the distributions received may bear little relation to the performance of the investment.</w:t>
      </w:r>
      <w:bookmarkEnd w:id="9"/>
      <w:bookmarkEnd w:id="10"/>
    </w:p>
    <w:p w:rsidR="00734281" w:rsidRDefault="00525298" w:rsidP="00BD698F">
      <w:pPr>
        <w:pStyle w:val="Normalnumberedlevel1"/>
        <w:numPr>
          <w:ilvl w:val="0"/>
          <w:numId w:val="2"/>
        </w:numPr>
      </w:pPr>
      <w:bookmarkStart w:id="11" w:name="_Ref398220687"/>
      <w:r>
        <w:t>EFRAG acknowledges</w:t>
      </w:r>
      <w:r w:rsidR="008046E9">
        <w:t xml:space="preserve"> that</w:t>
      </w:r>
      <w:r w:rsidR="00730DB8">
        <w:t xml:space="preserve">, as </w:t>
      </w:r>
      <w:r w:rsidR="008046E9">
        <w:t>noted</w:t>
      </w:r>
      <w:r w:rsidR="00730DB8">
        <w:t xml:space="preserve"> in paragraph </w:t>
      </w:r>
      <w:r w:rsidR="000E748E">
        <w:fldChar w:fldCharType="begin"/>
      </w:r>
      <w:r w:rsidR="001A4F54">
        <w:instrText xml:space="preserve"> REF _Ref401065950 \r \h </w:instrText>
      </w:r>
      <w:r w:rsidR="000E748E">
        <w:fldChar w:fldCharType="separate"/>
      </w:r>
      <w:r w:rsidR="00491F6E">
        <w:t>2</w:t>
      </w:r>
      <w:r w:rsidR="000E748E">
        <w:fldChar w:fldCharType="end"/>
      </w:r>
      <w:r w:rsidR="00730DB8">
        <w:t xml:space="preserve"> of Appendix </w:t>
      </w:r>
      <w:r w:rsidR="008046E9">
        <w:t>1,</w:t>
      </w:r>
      <w:r w:rsidR="00823EB1">
        <w:t xml:space="preserve"> the equity method provides information that is already reflected in consolid</w:t>
      </w:r>
      <w:r>
        <w:t>ated financial statements</w:t>
      </w:r>
      <w:r w:rsidR="008D4A72">
        <w:t xml:space="preserve"> and other financial statements</w:t>
      </w:r>
      <w:r>
        <w:t xml:space="preserve">. However, </w:t>
      </w:r>
      <w:r w:rsidR="00731E7C">
        <w:t>EFRAG notes that consolidated and separate financial statements reflect different views: the view of a group and the view</w:t>
      </w:r>
      <w:r w:rsidR="008C0C9F">
        <w:t xml:space="preserve"> of a</w:t>
      </w:r>
      <w:r w:rsidR="00C44173">
        <w:t>n</w:t>
      </w:r>
      <w:r w:rsidR="008C0C9F">
        <w:t xml:space="preserve"> </w:t>
      </w:r>
      <w:r w:rsidR="00C44173">
        <w:t>individual</w:t>
      </w:r>
      <w:r w:rsidR="008C0C9F">
        <w:t xml:space="preserve"> entity. </w:t>
      </w:r>
      <w:r w:rsidR="006C7734">
        <w:t>More importantly,</w:t>
      </w:r>
      <w:r w:rsidR="008C0C9F">
        <w:t xml:space="preserve"> </w:t>
      </w:r>
      <w:r w:rsidR="00722588">
        <w:t>separate financial statements serve</w:t>
      </w:r>
      <w:r w:rsidR="00BC3896">
        <w:t xml:space="preserve"> various purposes, many of which are different from</w:t>
      </w:r>
      <w:r w:rsidR="003E1FB0">
        <w:t xml:space="preserve"> those</w:t>
      </w:r>
      <w:r w:rsidR="001A4F54">
        <w:t xml:space="preserve"> of</w:t>
      </w:r>
      <w:r w:rsidR="00BC3896">
        <w:t xml:space="preserve"> consolidated </w:t>
      </w:r>
      <w:r w:rsidR="003E1FB0">
        <w:t>financial statements</w:t>
      </w:r>
      <w:r w:rsidR="00BC3896">
        <w:t xml:space="preserve">. </w:t>
      </w:r>
      <w:r w:rsidR="00F056E1">
        <w:t xml:space="preserve">Therefore, </w:t>
      </w:r>
      <w:r w:rsidR="006C7734">
        <w:t>EFRAG believes that</w:t>
      </w:r>
      <w:r w:rsidR="00BC3896" w:rsidRPr="00BC3896">
        <w:t xml:space="preserve"> the</w:t>
      </w:r>
      <w:r w:rsidR="002038AC">
        <w:t xml:space="preserve"> use of </w:t>
      </w:r>
      <w:r w:rsidR="00227C71">
        <w:t xml:space="preserve">the </w:t>
      </w:r>
      <w:r w:rsidR="002038AC">
        <w:t>equity method in separate financial statements can provide relevant information</w:t>
      </w:r>
      <w:r w:rsidR="004A758C">
        <w:t>,</w:t>
      </w:r>
      <w:r w:rsidR="002038AC">
        <w:t xml:space="preserve"> </w:t>
      </w:r>
      <w:r w:rsidR="006C7734">
        <w:t xml:space="preserve">even if </w:t>
      </w:r>
      <w:r w:rsidR="002038AC">
        <w:t>the information is</w:t>
      </w:r>
      <w:r w:rsidR="006C7734">
        <w:t xml:space="preserve"> already </w:t>
      </w:r>
      <w:r w:rsidR="002038AC">
        <w:t>available in</w:t>
      </w:r>
      <w:r w:rsidR="006C7734">
        <w:t xml:space="preserve"> consolidated financial statements.</w:t>
      </w:r>
      <w:bookmarkEnd w:id="11"/>
    </w:p>
    <w:p w:rsidR="001175D6" w:rsidRPr="00A63F7C" w:rsidRDefault="001175D6" w:rsidP="00BD698F">
      <w:pPr>
        <w:pStyle w:val="Normalnumberedlevel1"/>
        <w:numPr>
          <w:ilvl w:val="0"/>
          <w:numId w:val="2"/>
        </w:numPr>
      </w:pPr>
      <w:r w:rsidRPr="00A63F7C">
        <w:t>EFRAG’s overall initial assessment is that the Amendments would result in the provision of relevant information; and therefore they satisfy the relevance criterion.</w:t>
      </w:r>
      <w:r>
        <w:t xml:space="preserve"> </w:t>
      </w:r>
    </w:p>
    <w:p w:rsidR="001175D6" w:rsidRPr="00A63F7C" w:rsidRDefault="001175D6" w:rsidP="001175D6">
      <w:pPr>
        <w:keepNext/>
        <w:jc w:val="both"/>
        <w:rPr>
          <w:rFonts w:cs="Arial"/>
          <w:i/>
        </w:rPr>
      </w:pPr>
      <w:r w:rsidRPr="00A63F7C">
        <w:rPr>
          <w:rFonts w:cs="Arial"/>
          <w:i/>
        </w:rPr>
        <w:t>Reliability</w:t>
      </w:r>
    </w:p>
    <w:p w:rsidR="008E6629" w:rsidRDefault="008E6629" w:rsidP="00BD698F">
      <w:pPr>
        <w:pStyle w:val="Normalnumberedlevel1"/>
        <w:numPr>
          <w:ilvl w:val="0"/>
          <w:numId w:val="2"/>
        </w:numPr>
      </w:pPr>
      <w:bookmarkStart w:id="12" w:name="_Ref398220390"/>
      <w:r>
        <w:t>EFRAG also considered the reliability of the information that will be pro</w:t>
      </w:r>
      <w:r w:rsidR="00C179FE">
        <w:t>vided by applying the Amendments</w:t>
      </w:r>
      <w:r>
        <w:t>. Information has the quality of reliability when it is free from material error and bias and can be depended upon by users to represent faithfully what it either purports to represent or could reasonably be expected to represent, and is complete within the bounds of materiality and cost.</w:t>
      </w:r>
      <w:bookmarkEnd w:id="12"/>
    </w:p>
    <w:p w:rsidR="009E6F17" w:rsidRDefault="008E6629" w:rsidP="009E6F17">
      <w:pPr>
        <w:pStyle w:val="Normalnumberedlevel1"/>
        <w:numPr>
          <w:ilvl w:val="0"/>
          <w:numId w:val="2"/>
        </w:numPr>
      </w:pPr>
      <w:bookmarkStart w:id="13" w:name="_Ref398220410"/>
      <w:r>
        <w:t>There are a number of aspects to the notion of reliability: freedom from material error and bias, faithful representation and completeness.</w:t>
      </w:r>
      <w:bookmarkEnd w:id="13"/>
      <w:r w:rsidR="009E6F17" w:rsidDel="009E6F17">
        <w:t xml:space="preserve"> </w:t>
      </w:r>
    </w:p>
    <w:p w:rsidR="00A957B0" w:rsidRDefault="009E6F17" w:rsidP="009E6F17">
      <w:pPr>
        <w:pStyle w:val="Normalnumberedlevel1"/>
        <w:numPr>
          <w:ilvl w:val="0"/>
          <w:numId w:val="2"/>
        </w:numPr>
      </w:pPr>
      <w:r>
        <w:t>I</w:t>
      </w:r>
      <w:r w:rsidR="00643DB8">
        <w:t xml:space="preserve">n </w:t>
      </w:r>
      <w:r w:rsidR="003E1FB0">
        <w:t>EFRAG’s</w:t>
      </w:r>
      <w:r w:rsidR="00643DB8">
        <w:t xml:space="preserve"> view, the</w:t>
      </w:r>
      <w:r w:rsidR="00767DA6">
        <w:t xml:space="preserve"> application of the</w:t>
      </w:r>
      <w:r w:rsidR="00643DB8">
        <w:t xml:space="preserve"> equi</w:t>
      </w:r>
      <w:r w:rsidR="00767DA6">
        <w:t>ty method</w:t>
      </w:r>
      <w:r w:rsidR="006F1B67">
        <w:t xml:space="preserve"> results in information that provides a</w:t>
      </w:r>
      <w:r w:rsidR="00C50CDD">
        <w:t xml:space="preserve"> </w:t>
      </w:r>
      <w:r w:rsidR="00767DA6">
        <w:t>faithful</w:t>
      </w:r>
      <w:r w:rsidR="006F1B67">
        <w:t xml:space="preserve"> representation of </w:t>
      </w:r>
      <w:r w:rsidR="00E54ABA">
        <w:t>the financial performance of an</w:t>
      </w:r>
      <w:r w:rsidR="00E71513">
        <w:t xml:space="preserve"> </w:t>
      </w:r>
      <w:r w:rsidR="00E54ABA">
        <w:t>investment</w:t>
      </w:r>
      <w:r w:rsidR="00BE4088">
        <w:t xml:space="preserve"> </w:t>
      </w:r>
      <w:r w:rsidR="00E54ABA">
        <w:t>in a subsidiary, joint venture and associate</w:t>
      </w:r>
      <w:r w:rsidR="00536C55">
        <w:t xml:space="preserve">. </w:t>
      </w:r>
      <w:r w:rsidR="006F1B67">
        <w:t>This</w:t>
      </w:r>
      <w:r w:rsidR="003E1FB0">
        <w:t xml:space="preserve"> is because</w:t>
      </w:r>
      <w:r w:rsidR="006F1B67">
        <w:t xml:space="preserve">, </w:t>
      </w:r>
      <w:r w:rsidR="004A758C">
        <w:t>as</w:t>
      </w:r>
      <w:r w:rsidR="000A549C">
        <w:t xml:space="preserve"> explained in paragraph</w:t>
      </w:r>
      <w:r w:rsidR="00667691">
        <w:t> </w:t>
      </w:r>
      <w:r w:rsidR="000E748E">
        <w:fldChar w:fldCharType="begin"/>
      </w:r>
      <w:r w:rsidR="00036D7A">
        <w:instrText xml:space="preserve"> REF _Ref400633781 \r \h </w:instrText>
      </w:r>
      <w:r w:rsidR="000E748E">
        <w:fldChar w:fldCharType="separate"/>
      </w:r>
      <w:r w:rsidR="00491F6E">
        <w:t>5</w:t>
      </w:r>
      <w:r w:rsidR="000E748E">
        <w:fldChar w:fldCharType="end"/>
      </w:r>
      <w:r w:rsidR="00036D7A">
        <w:t xml:space="preserve"> </w:t>
      </w:r>
      <w:r w:rsidR="004A758C">
        <w:t xml:space="preserve">above, </w:t>
      </w:r>
      <w:r w:rsidR="006F1B67">
        <w:t>w</w:t>
      </w:r>
      <w:r w:rsidR="00536C55">
        <w:t xml:space="preserve">hen a parent or investor applies the equity method to account for its investments, the parent or </w:t>
      </w:r>
      <w:r w:rsidR="004A758C">
        <w:t>investor recognise</w:t>
      </w:r>
      <w:r w:rsidR="003E1FB0">
        <w:t>s</w:t>
      </w:r>
      <w:r w:rsidR="00BE4088">
        <w:t>, over time,</w:t>
      </w:r>
      <w:r w:rsidR="004A758C">
        <w:t xml:space="preserve"> </w:t>
      </w:r>
      <w:r w:rsidR="003E1FB0">
        <w:t>its</w:t>
      </w:r>
      <w:r w:rsidR="00536C55">
        <w:t xml:space="preserve"> share of the profit or loss of the investee</w:t>
      </w:r>
      <w:r w:rsidR="004A758C">
        <w:t xml:space="preserve"> in </w:t>
      </w:r>
      <w:r w:rsidR="003E1FB0">
        <w:t>its</w:t>
      </w:r>
      <w:r w:rsidR="00BE4088">
        <w:t xml:space="preserve"> separate financial statements.</w:t>
      </w:r>
      <w:r w:rsidR="004A758C">
        <w:t xml:space="preserve"> Consequently, the use of the equity method provides</w:t>
      </w:r>
      <w:r w:rsidR="00D46A8D">
        <w:t xml:space="preserve"> </w:t>
      </w:r>
      <w:r w:rsidR="004A758C">
        <w:t xml:space="preserve">users of separate financial statements </w:t>
      </w:r>
      <w:r w:rsidR="00D46A8D">
        <w:t xml:space="preserve">with </w:t>
      </w:r>
      <w:r w:rsidR="004A758C">
        <w:t xml:space="preserve">timely and reliable information about </w:t>
      </w:r>
      <w:r w:rsidR="00907969">
        <w:t xml:space="preserve">the </w:t>
      </w:r>
      <w:r w:rsidR="00907969" w:rsidRPr="00907969">
        <w:t>potential for dividend distribution,</w:t>
      </w:r>
      <w:r w:rsidR="00907969">
        <w:t xml:space="preserve"> </w:t>
      </w:r>
      <w:r w:rsidR="004A758C">
        <w:t xml:space="preserve">the return </w:t>
      </w:r>
      <w:r w:rsidR="003E1FB0">
        <w:t>from</w:t>
      </w:r>
      <w:r w:rsidR="004A758C">
        <w:t xml:space="preserve"> the investments and their economic value.</w:t>
      </w:r>
    </w:p>
    <w:p w:rsidR="00BF56FF" w:rsidRDefault="00603A49" w:rsidP="00BD698F">
      <w:pPr>
        <w:pStyle w:val="Normalnumberedlevel1"/>
        <w:numPr>
          <w:ilvl w:val="0"/>
          <w:numId w:val="2"/>
        </w:numPr>
      </w:pPr>
      <w:r>
        <w:t>EFRAG further</w:t>
      </w:r>
      <w:r w:rsidR="00767DA6">
        <w:t xml:space="preserve"> note</w:t>
      </w:r>
      <w:r>
        <w:t>s</w:t>
      </w:r>
      <w:r w:rsidR="00767DA6">
        <w:t xml:space="preserve"> that t</w:t>
      </w:r>
      <w:r w:rsidR="001175D6" w:rsidRPr="00A63F7C">
        <w:t>he use of the equity method is assessed to result in the provision of reliable information for consolida</w:t>
      </w:r>
      <w:r w:rsidR="00767DA6">
        <w:t>ted financial statements</w:t>
      </w:r>
      <w:r>
        <w:t xml:space="preserve"> when accounting for associates and joint ventures</w:t>
      </w:r>
      <w:r w:rsidR="00767DA6">
        <w:t>.</w:t>
      </w:r>
      <w:r w:rsidR="001175D6" w:rsidRPr="00A63F7C">
        <w:t xml:space="preserve"> EFRAG sees no reason why the same would not apply to </w:t>
      </w:r>
      <w:r w:rsidR="00BE4088">
        <w:t>the accounting for</w:t>
      </w:r>
      <w:r w:rsidR="00F04822">
        <w:t xml:space="preserve"> associates and joint ventures in </w:t>
      </w:r>
      <w:r w:rsidR="001175D6" w:rsidRPr="00A63F7C">
        <w:t xml:space="preserve">separate financial statements. </w:t>
      </w:r>
      <w:bookmarkStart w:id="14" w:name="_Ref396376377"/>
    </w:p>
    <w:p w:rsidR="00BE4088" w:rsidRDefault="00493174" w:rsidP="00BD698F">
      <w:pPr>
        <w:pStyle w:val="Normalnumberedlevel1"/>
        <w:numPr>
          <w:ilvl w:val="0"/>
          <w:numId w:val="2"/>
        </w:numPr>
      </w:pPr>
      <w:r>
        <w:t>EFRAG acknowledges that the Amendments</w:t>
      </w:r>
      <w:r w:rsidR="00BE4088">
        <w:t xml:space="preserve"> do not provide</w:t>
      </w:r>
      <w:r w:rsidR="004A758C">
        <w:t xml:space="preserve"> specific</w:t>
      </w:r>
      <w:r w:rsidR="00BE4088">
        <w:t xml:space="preserve"> guidance on the application of the equity method to a subsidiary in the separate financial statements of a parent. Therefore,</w:t>
      </w:r>
      <w:r>
        <w:t xml:space="preserve"> a parent that has elected to apply the equity method to account for its subsidiaries in its separate financial statements </w:t>
      </w:r>
      <w:r w:rsidR="00BE4088">
        <w:t xml:space="preserve">will have </w:t>
      </w:r>
      <w:r>
        <w:t>to follow the methodology</w:t>
      </w:r>
      <w:r w:rsidR="002D6A6E">
        <w:t xml:space="preserve"> outlined</w:t>
      </w:r>
      <w:r>
        <w:t xml:space="preserve"> in IAS 28 as applicable to an associate or a joint venture </w:t>
      </w:r>
      <w:r w:rsidR="008D4A72">
        <w:t>(i.e. apply</w:t>
      </w:r>
      <w:r w:rsidR="00BE5E27">
        <w:t>ing</w:t>
      </w:r>
      <w:r w:rsidR="008D4A72">
        <w:t xml:space="preserve"> </w:t>
      </w:r>
      <w:r w:rsidR="00BE5E27">
        <w:t>IAS 28 by analogy</w:t>
      </w:r>
      <w:r w:rsidR="008D4A72">
        <w:t>)</w:t>
      </w:r>
      <w:r>
        <w:t xml:space="preserve">. </w:t>
      </w:r>
    </w:p>
    <w:p w:rsidR="00BF56FF" w:rsidRDefault="00882F3C" w:rsidP="00BD698F">
      <w:pPr>
        <w:pStyle w:val="Normalnumberedlevel1"/>
        <w:numPr>
          <w:ilvl w:val="0"/>
          <w:numId w:val="2"/>
        </w:numPr>
      </w:pPr>
      <w:r>
        <w:t>EFRAG</w:t>
      </w:r>
      <w:r w:rsidR="003F7B95">
        <w:t xml:space="preserve"> also</w:t>
      </w:r>
      <w:r w:rsidR="00493174">
        <w:t xml:space="preserve"> acknowledge</w:t>
      </w:r>
      <w:r>
        <w:t>s</w:t>
      </w:r>
      <w:r w:rsidR="00493174">
        <w:t xml:space="preserve"> that this may raise some difficulties </w:t>
      </w:r>
      <w:r w:rsidR="003F7B95">
        <w:t>in practice, p</w:t>
      </w:r>
      <w:r w:rsidR="00493174">
        <w:t>articularly when a parent uses the equity method to account for its subsidiary in its separate financial statements and</w:t>
      </w:r>
      <w:r w:rsidR="00013E31">
        <w:t xml:space="preserve"> it</w:t>
      </w:r>
      <w:r w:rsidR="00493174">
        <w:t xml:space="preserve"> loses control of a subsidiary (e.g. sells 65% out </w:t>
      </w:r>
      <w:r w:rsidR="00493174">
        <w:lastRenderedPageBreak/>
        <w:t>of 100%).</w:t>
      </w:r>
      <w:r w:rsidR="00013E31">
        <w:t xml:space="preserve"> In such situations,</w:t>
      </w:r>
      <w:r w:rsidR="003F7B95">
        <w:t xml:space="preserve"> </w:t>
      </w:r>
      <w:r w:rsidR="00013E31">
        <w:t>the parent</w:t>
      </w:r>
      <w:r w:rsidR="003F7B95">
        <w:t xml:space="preserve"> will have to consider both the guidance in IAS 28</w:t>
      </w:r>
      <w:r w:rsidR="00391B16">
        <w:t xml:space="preserve"> </w:t>
      </w:r>
      <w:r w:rsidR="003F7B95">
        <w:t>and its accounting policies in regard to o</w:t>
      </w:r>
      <w:r w:rsidR="007E5CBE">
        <w:t>ther categories of investments.</w:t>
      </w:r>
      <w:r w:rsidR="00391B16">
        <w:t xml:space="preserve"> The diff</w:t>
      </w:r>
      <w:r w:rsidR="00013E31">
        <w:t xml:space="preserve">iculties in practice arise </w:t>
      </w:r>
      <w:r w:rsidR="00013E31" w:rsidRPr="00AA714A">
        <w:t>as</w:t>
      </w:r>
      <w:r w:rsidR="00B55B47" w:rsidRPr="00AA714A">
        <w:t xml:space="preserve"> IAS 28 was built</w:t>
      </w:r>
      <w:r w:rsidR="00F0536B" w:rsidRPr="00AA714A">
        <w:t xml:space="preserve"> </w:t>
      </w:r>
      <w:r w:rsidR="00AA714A" w:rsidRPr="00AA714A">
        <w:t>on</w:t>
      </w:r>
      <w:r w:rsidR="001A22AD" w:rsidRPr="00AA714A">
        <w:t xml:space="preserve"> the pre</w:t>
      </w:r>
      <w:r w:rsidR="00AA714A" w:rsidRPr="00AA714A">
        <w:t>mise</w:t>
      </w:r>
      <w:r w:rsidR="001A22AD" w:rsidRPr="00AA714A">
        <w:t xml:space="preserve"> that an entity has </w:t>
      </w:r>
      <w:r w:rsidR="00391B16" w:rsidRPr="00AA714A">
        <w:t>joint control</w:t>
      </w:r>
      <w:r w:rsidR="00013E31" w:rsidRPr="00AA714A">
        <w:t xml:space="preserve"> of or significant influence</w:t>
      </w:r>
      <w:r w:rsidR="00F0536B" w:rsidRPr="00AA714A">
        <w:t xml:space="preserve"> over an investee</w:t>
      </w:r>
      <w:r w:rsidR="00013E31" w:rsidRPr="00AA714A">
        <w:t>,</w:t>
      </w:r>
      <w:r w:rsidR="001A22AD" w:rsidRPr="00AA714A">
        <w:t xml:space="preserve"> and not</w:t>
      </w:r>
      <w:r w:rsidR="00FF3306">
        <w:t xml:space="preserve"> </w:t>
      </w:r>
      <w:r w:rsidR="00F0536B" w:rsidRPr="00AA714A">
        <w:t>control.</w:t>
      </w:r>
      <w:r w:rsidR="00F0536B">
        <w:t xml:space="preserve"> </w:t>
      </w:r>
      <w:r w:rsidR="00CB715F">
        <w:t xml:space="preserve">Difficulties in practice also arise due to the fact </w:t>
      </w:r>
      <w:r w:rsidR="00F0536B">
        <w:t>that</w:t>
      </w:r>
      <w:r w:rsidR="00391B16">
        <w:t xml:space="preserve"> </w:t>
      </w:r>
      <w:r w:rsidR="007E5CBE">
        <w:t>there is already some uncertainty on how to account for an investment when it changes status.</w:t>
      </w:r>
    </w:p>
    <w:p w:rsidR="003F7B95" w:rsidRDefault="00013E31" w:rsidP="00BD698F">
      <w:pPr>
        <w:pStyle w:val="Normalnumberedlevel1"/>
        <w:numPr>
          <w:ilvl w:val="0"/>
          <w:numId w:val="2"/>
        </w:numPr>
      </w:pPr>
      <w:r>
        <w:t>Nonetheless</w:t>
      </w:r>
      <w:r w:rsidR="003F7B95">
        <w:t>, as the equity method is currentl</w:t>
      </w:r>
      <w:r w:rsidR="00F04822">
        <w:t>y widely applied in practice, EFRAG</w:t>
      </w:r>
      <w:r w:rsidR="003F7B95">
        <w:t xml:space="preserve"> consider</w:t>
      </w:r>
      <w:r w:rsidR="00F04822">
        <w:t>s</w:t>
      </w:r>
      <w:r w:rsidR="00F0536B">
        <w:t xml:space="preserve"> that</w:t>
      </w:r>
      <w:r w:rsidR="003F7B95">
        <w:t xml:space="preserve"> </w:t>
      </w:r>
      <w:r w:rsidRPr="00013E31">
        <w:t>follow</w:t>
      </w:r>
      <w:r w:rsidR="00F0536B">
        <w:t>ing</w:t>
      </w:r>
      <w:r w:rsidRPr="00013E31">
        <w:t xml:space="preserve"> the methodology in IAS 28 as applicable to an associate or a joint venture </w:t>
      </w:r>
      <w:r w:rsidR="003F7B95">
        <w:t>to account for subsidiaries in separate financial statements will not add</w:t>
      </w:r>
      <w:r w:rsidR="003F7B95" w:rsidRPr="00A63F7C">
        <w:t xml:space="preserve"> </w:t>
      </w:r>
      <w:r w:rsidR="003F7B95">
        <w:t xml:space="preserve">undue </w:t>
      </w:r>
      <w:r w:rsidR="003F7B95" w:rsidRPr="00A63F7C">
        <w:t>complex</w:t>
      </w:r>
      <w:r w:rsidR="003F7B95">
        <w:t xml:space="preserve">ity to the extent </w:t>
      </w:r>
      <w:r w:rsidR="003F7B95" w:rsidRPr="00A63F7C">
        <w:t xml:space="preserve">that </w:t>
      </w:r>
      <w:r w:rsidR="003F7B95">
        <w:t xml:space="preserve">it </w:t>
      </w:r>
      <w:r w:rsidR="003F7B95" w:rsidRPr="00A63F7C">
        <w:t>may impair</w:t>
      </w:r>
      <w:r w:rsidR="003F7B95" w:rsidRPr="001B6B3D">
        <w:t xml:space="preserve"> </w:t>
      </w:r>
      <w:r w:rsidR="003F7B95">
        <w:t>reliability.</w:t>
      </w:r>
      <w:bookmarkEnd w:id="14"/>
    </w:p>
    <w:p w:rsidR="001175D6" w:rsidRPr="00A63F7C" w:rsidRDefault="001175D6" w:rsidP="00BD698F">
      <w:pPr>
        <w:pStyle w:val="Normalnumberedlevel1"/>
        <w:numPr>
          <w:ilvl w:val="0"/>
          <w:numId w:val="2"/>
        </w:numPr>
      </w:pPr>
      <w:bookmarkStart w:id="15" w:name="_Ref400622826"/>
      <w:r w:rsidRPr="00A63F7C">
        <w:t>EFRAG’s overall initial assessment is that the Amendments</w:t>
      </w:r>
      <w:r w:rsidRPr="00A63F7C">
        <w:rPr>
          <w:i/>
          <w:iCs/>
        </w:rPr>
        <w:t xml:space="preserve"> </w:t>
      </w:r>
      <w:r w:rsidRPr="00A63F7C">
        <w:t>would raise no concerns about risk of error or bias; and therefore they satisfy the reliability criterion.</w:t>
      </w:r>
      <w:bookmarkEnd w:id="15"/>
    </w:p>
    <w:p w:rsidR="001175D6" w:rsidRPr="00A63F7C" w:rsidRDefault="001175D6" w:rsidP="001175D6">
      <w:pPr>
        <w:pStyle w:val="Heading3"/>
      </w:pPr>
      <w:r w:rsidRPr="00A63F7C">
        <w:t>Comparability</w:t>
      </w:r>
    </w:p>
    <w:p w:rsidR="001175D6" w:rsidRPr="00A63F7C" w:rsidRDefault="001175D6" w:rsidP="00BD698F">
      <w:pPr>
        <w:pStyle w:val="Normalnumberedlevel1"/>
        <w:numPr>
          <w:ilvl w:val="0"/>
          <w:numId w:val="2"/>
        </w:numPr>
      </w:pPr>
      <w:r w:rsidRPr="00A63F7C">
        <w:t>The notion of comparability requires that like items and events are accounted for in a consistent way through time and by different entities, and that unlike items and events should be accounted for differently.</w:t>
      </w:r>
    </w:p>
    <w:p w:rsidR="001175D6" w:rsidRPr="00A63F7C" w:rsidRDefault="001175D6" w:rsidP="00BD698F">
      <w:pPr>
        <w:pStyle w:val="Normalnumberedlevel1"/>
        <w:numPr>
          <w:ilvl w:val="0"/>
          <w:numId w:val="2"/>
        </w:numPr>
      </w:pPr>
      <w:r w:rsidRPr="00A63F7C">
        <w:t>EFRAG has considered whether the Amendments</w:t>
      </w:r>
      <w:r w:rsidRPr="00A63F7C">
        <w:rPr>
          <w:i/>
          <w:iCs/>
        </w:rPr>
        <w:t xml:space="preserve"> </w:t>
      </w:r>
      <w:r w:rsidRPr="00A63F7C">
        <w:t>result in transactions that are:</w:t>
      </w:r>
    </w:p>
    <w:p w:rsidR="001175D6" w:rsidRPr="00A63F7C" w:rsidRDefault="001175D6" w:rsidP="00BD698F">
      <w:pPr>
        <w:pStyle w:val="Normalnumberedlevel2"/>
        <w:numPr>
          <w:ilvl w:val="1"/>
          <w:numId w:val="2"/>
        </w:numPr>
      </w:pPr>
      <w:r w:rsidRPr="00A63F7C">
        <w:t xml:space="preserve">economically similar being accounted for differently; or </w:t>
      </w:r>
    </w:p>
    <w:p w:rsidR="003F4B32" w:rsidRDefault="001175D6" w:rsidP="00BD698F">
      <w:pPr>
        <w:pStyle w:val="Normalnumberedlevel2"/>
        <w:numPr>
          <w:ilvl w:val="1"/>
          <w:numId w:val="2"/>
        </w:numPr>
      </w:pPr>
      <w:r w:rsidRPr="00A63F7C">
        <w:t xml:space="preserve">transactions that are economically different being accounted for as if they are similar. </w:t>
      </w:r>
    </w:p>
    <w:p w:rsidR="007C266A" w:rsidRDefault="001175D6" w:rsidP="00BD698F">
      <w:pPr>
        <w:pStyle w:val="Normalnumberedlevel1"/>
        <w:numPr>
          <w:ilvl w:val="0"/>
          <w:numId w:val="2"/>
        </w:numPr>
      </w:pPr>
      <w:r w:rsidRPr="00A63F7C">
        <w:t>EFRAG</w:t>
      </w:r>
      <w:r>
        <w:t xml:space="preserve"> </w:t>
      </w:r>
      <w:r w:rsidR="00663F30">
        <w:t xml:space="preserve">is generally not in favour of </w:t>
      </w:r>
      <w:r w:rsidRPr="00A63F7C">
        <w:t xml:space="preserve">introducing additional accounting policy options in IFRS </w:t>
      </w:r>
      <w:r w:rsidR="00663F30">
        <w:t xml:space="preserve">as it </w:t>
      </w:r>
      <w:r w:rsidR="00CB715F">
        <w:t xml:space="preserve">potentially </w:t>
      </w:r>
      <w:r w:rsidR="00B30F89">
        <w:t>decreases</w:t>
      </w:r>
      <w:r w:rsidR="0074427E">
        <w:t xml:space="preserve"> </w:t>
      </w:r>
      <w:r w:rsidRPr="00A63F7C">
        <w:t xml:space="preserve">comparability </w:t>
      </w:r>
      <w:r w:rsidR="0074427E">
        <w:t>of financial information</w:t>
      </w:r>
      <w:r w:rsidRPr="00A63F7C">
        <w:t>, which is contrary to the need of users.</w:t>
      </w:r>
    </w:p>
    <w:p w:rsidR="00ED3AC9" w:rsidRDefault="00783D23" w:rsidP="003836FA">
      <w:pPr>
        <w:pStyle w:val="Normalnumberedlevel1"/>
        <w:numPr>
          <w:ilvl w:val="0"/>
          <w:numId w:val="2"/>
        </w:numPr>
      </w:pPr>
      <w:r>
        <w:t>However,</w:t>
      </w:r>
      <w:r w:rsidR="003541B4">
        <w:t xml:space="preserve"> EFRAG </w:t>
      </w:r>
      <w:r w:rsidR="00603C15">
        <w:t>considers</w:t>
      </w:r>
      <w:r w:rsidR="003541B4">
        <w:t xml:space="preserve"> that comparability</w:t>
      </w:r>
      <w:r w:rsidR="00982138">
        <w:t xml:space="preserve"> needs to be</w:t>
      </w:r>
      <w:r w:rsidR="001436F5">
        <w:t xml:space="preserve"> balanced </w:t>
      </w:r>
      <w:r w:rsidR="00CB0CC9">
        <w:t xml:space="preserve">against and considered together </w:t>
      </w:r>
      <w:r w:rsidR="001436F5">
        <w:t>with</w:t>
      </w:r>
      <w:r w:rsidR="00982138">
        <w:t xml:space="preserve"> relevance and </w:t>
      </w:r>
      <w:r w:rsidR="00882F3C">
        <w:t>reliability</w:t>
      </w:r>
      <w:r w:rsidR="00982138">
        <w:t xml:space="preserve">. In this specific case, </w:t>
      </w:r>
      <w:r w:rsidR="004C3123">
        <w:t>EFRAG</w:t>
      </w:r>
      <w:r w:rsidR="004C3123" w:rsidRPr="00A63F7C">
        <w:t xml:space="preserve"> consider</w:t>
      </w:r>
      <w:r w:rsidR="004C3123">
        <w:t>s</w:t>
      </w:r>
      <w:r w:rsidR="004C3123" w:rsidRPr="00A63F7C">
        <w:t xml:space="preserve"> that the potential negative effects of adding </w:t>
      </w:r>
      <w:r w:rsidR="00882F3C">
        <w:t>an</w:t>
      </w:r>
      <w:r w:rsidR="004C3123" w:rsidRPr="00A63F7C">
        <w:t xml:space="preserve"> accounting policy option are outweighed by the </w:t>
      </w:r>
      <w:r w:rsidR="004C3123">
        <w:t>fact that the application of the equity method to account for investments in subsidiaries, joint ventures and associates results</w:t>
      </w:r>
      <w:r w:rsidR="001748E8">
        <w:t xml:space="preserve">, as explained in paragraphs </w:t>
      </w:r>
      <w:r w:rsidR="000E748E">
        <w:fldChar w:fldCharType="begin"/>
      </w:r>
      <w:r w:rsidR="00E83CEA">
        <w:instrText xml:space="preserve"> REF _Ref400622814 \r \h  \* MERGEFORMAT </w:instrText>
      </w:r>
      <w:r w:rsidR="000E748E">
        <w:fldChar w:fldCharType="separate"/>
      </w:r>
      <w:r w:rsidR="00491F6E">
        <w:t>3</w:t>
      </w:r>
      <w:r w:rsidR="000E748E">
        <w:fldChar w:fldCharType="end"/>
      </w:r>
      <w:r w:rsidR="001748E8">
        <w:t xml:space="preserve"> to </w:t>
      </w:r>
      <w:r w:rsidR="000E748E">
        <w:fldChar w:fldCharType="begin"/>
      </w:r>
      <w:r w:rsidR="00E83CEA">
        <w:instrText xml:space="preserve"> REF _Ref400622826 \r \h  \* MERGEFORMAT </w:instrText>
      </w:r>
      <w:r w:rsidR="000E748E">
        <w:fldChar w:fldCharType="separate"/>
      </w:r>
      <w:r w:rsidR="00491F6E">
        <w:t>15</w:t>
      </w:r>
      <w:r w:rsidR="000E748E">
        <w:fldChar w:fldCharType="end"/>
      </w:r>
      <w:r w:rsidR="008C71AA">
        <w:t xml:space="preserve"> above</w:t>
      </w:r>
      <w:r w:rsidR="001748E8">
        <w:t>,</w:t>
      </w:r>
      <w:r w:rsidR="004C3123">
        <w:t xml:space="preserve"> in relevant and reliable information </w:t>
      </w:r>
      <w:r w:rsidR="00882F3C">
        <w:t>for</w:t>
      </w:r>
      <w:r w:rsidR="004C3123">
        <w:t xml:space="preserve"> users of separate financial statements.</w:t>
      </w:r>
      <w:r w:rsidR="009112EC">
        <w:t xml:space="preserve"> EFRAG also </w:t>
      </w:r>
      <w:r w:rsidR="00C74342">
        <w:t>notes that the Amendments introduce</w:t>
      </w:r>
      <w:r w:rsidR="00C74342" w:rsidRPr="00932A53">
        <w:t xml:space="preserve"> an additional option in an area where options already exist</w:t>
      </w:r>
      <w:r w:rsidR="00C74342">
        <w:t xml:space="preserve"> and </w:t>
      </w:r>
      <w:r w:rsidR="009112EC">
        <w:t xml:space="preserve">that </w:t>
      </w:r>
      <w:r w:rsidR="00ED3AC9">
        <w:t>any</w:t>
      </w:r>
      <w:r w:rsidR="00C83E6B">
        <w:t xml:space="preserve"> resulting</w:t>
      </w:r>
      <w:r w:rsidR="00ED3AC9">
        <w:t xml:space="preserve"> lack of comparability is as much a result of the effect of the </w:t>
      </w:r>
      <w:r w:rsidR="00C83E6B">
        <w:t>different</w:t>
      </w:r>
      <w:r w:rsidR="00C74342">
        <w:t xml:space="preserve"> </w:t>
      </w:r>
      <w:r w:rsidR="00ED3AC9">
        <w:t>relationships</w:t>
      </w:r>
      <w:r w:rsidR="00C74342">
        <w:t xml:space="preserve"> between an investor and</w:t>
      </w:r>
      <w:r w:rsidR="00ED3AC9">
        <w:t xml:space="preserve"> its investees as of the </w:t>
      </w:r>
      <w:r w:rsidR="00C83E6B">
        <w:t>different measurement base</w:t>
      </w:r>
      <w:r w:rsidR="00ED3AC9">
        <w:t>s applied in</w:t>
      </w:r>
      <w:r w:rsidR="00C74342">
        <w:t xml:space="preserve"> separate financial statements.</w:t>
      </w:r>
    </w:p>
    <w:p w:rsidR="00BC1450" w:rsidRDefault="005067F6" w:rsidP="003836FA">
      <w:pPr>
        <w:pStyle w:val="Normalnumberedlevel1"/>
        <w:numPr>
          <w:ilvl w:val="0"/>
          <w:numId w:val="2"/>
        </w:numPr>
      </w:pPr>
      <w:r>
        <w:t xml:space="preserve">Furthermore, </w:t>
      </w:r>
      <w:bookmarkStart w:id="16" w:name="_Ref396379126"/>
      <w:r w:rsidR="00BC1450">
        <w:t>E</w:t>
      </w:r>
      <w:r>
        <w:t>FRAG</w:t>
      </w:r>
      <w:r w:rsidR="004C3123">
        <w:t xml:space="preserve"> </w:t>
      </w:r>
      <w:r w:rsidR="00BC1450">
        <w:t>notes that, in accordance</w:t>
      </w:r>
      <w:r w:rsidR="00BC1450" w:rsidRPr="007C266A">
        <w:t xml:space="preserve"> with</w:t>
      </w:r>
      <w:r w:rsidR="00BC1450">
        <w:t xml:space="preserve"> paragraphs 13 and</w:t>
      </w:r>
      <w:r w:rsidR="00BC1450" w:rsidRPr="007C266A">
        <w:t xml:space="preserve"> 14 of IAS</w:t>
      </w:r>
      <w:r w:rsidR="00EC492A">
        <w:t> </w:t>
      </w:r>
      <w:r w:rsidR="00BC1450" w:rsidRPr="007C266A">
        <w:t>8</w:t>
      </w:r>
      <w:r w:rsidR="00EC492A">
        <w:t> </w:t>
      </w:r>
      <w:r w:rsidR="00BC1450" w:rsidRPr="00546FD2">
        <w:rPr>
          <w:i/>
        </w:rPr>
        <w:t>Accounting Policies, Changes in Accounting Estimates and Error</w:t>
      </w:r>
      <w:r w:rsidR="00882F3C" w:rsidRPr="00546FD2">
        <w:rPr>
          <w:i/>
        </w:rPr>
        <w:t>s</w:t>
      </w:r>
      <w:r w:rsidR="00BC1450" w:rsidRPr="007C266A">
        <w:t>, preparers</w:t>
      </w:r>
      <w:r w:rsidR="00BC1450">
        <w:t xml:space="preserve"> </w:t>
      </w:r>
      <w:r w:rsidR="00BC1450" w:rsidRPr="007C266A">
        <w:t>will not</w:t>
      </w:r>
      <w:r w:rsidR="00BC1450">
        <w:t xml:space="preserve"> be</w:t>
      </w:r>
      <w:r w:rsidR="00BC1450" w:rsidRPr="007C266A">
        <w:t xml:space="preserve"> allowed to freely</w:t>
      </w:r>
      <w:r w:rsidR="00882F3C">
        <w:t xml:space="preserve"> </w:t>
      </w:r>
      <w:r w:rsidR="00BC1450" w:rsidRPr="007C266A">
        <w:t>change their accounting</w:t>
      </w:r>
      <w:r w:rsidR="00BC1450">
        <w:t xml:space="preserve"> policies</w:t>
      </w:r>
      <w:r w:rsidR="00882F3C">
        <w:t>.</w:t>
      </w:r>
      <w:r w:rsidR="00BC1450" w:rsidRPr="007C266A">
        <w:t xml:space="preserve"> </w:t>
      </w:r>
    </w:p>
    <w:p w:rsidR="00ED59C1" w:rsidRPr="00A63F7C" w:rsidRDefault="001748E8" w:rsidP="00BD698F">
      <w:pPr>
        <w:pStyle w:val="Normalnumberedlevel1"/>
        <w:numPr>
          <w:ilvl w:val="0"/>
          <w:numId w:val="2"/>
        </w:numPr>
      </w:pPr>
      <w:r>
        <w:t>Overall</w:t>
      </w:r>
      <w:r w:rsidR="008B6970">
        <w:t>,</w:t>
      </w:r>
      <w:r w:rsidR="00B61B96">
        <w:t xml:space="preserve"> </w:t>
      </w:r>
      <w:r w:rsidR="00ED59C1" w:rsidRPr="00A63F7C">
        <w:t>EFRAG’s initial assessment is</w:t>
      </w:r>
      <w:r w:rsidR="000C79D7">
        <w:t xml:space="preserve"> that</w:t>
      </w:r>
      <w:r w:rsidR="00603C15">
        <w:t>,</w:t>
      </w:r>
      <w:r w:rsidR="000C79D7">
        <w:t xml:space="preserve"> </w:t>
      </w:r>
      <w:r w:rsidR="00566F24">
        <w:t xml:space="preserve">although </w:t>
      </w:r>
      <w:r w:rsidR="000C79D7">
        <w:t xml:space="preserve">the </w:t>
      </w:r>
      <w:r>
        <w:t>Amendments</w:t>
      </w:r>
      <w:r w:rsidR="00566F24">
        <w:t xml:space="preserve"> potentially </w:t>
      </w:r>
      <w:r w:rsidR="002D6A6E">
        <w:t>impact</w:t>
      </w:r>
      <w:r w:rsidR="00566F24">
        <w:t xml:space="preserve"> comparability</w:t>
      </w:r>
      <w:r w:rsidR="00E22730">
        <w:t xml:space="preserve"> </w:t>
      </w:r>
      <w:r>
        <w:t>there is</w:t>
      </w:r>
      <w:r w:rsidR="00B61B96">
        <w:t xml:space="preserve"> a cost benefit trade-off in terms of comparability,</w:t>
      </w:r>
      <w:r w:rsidR="00566F24">
        <w:t xml:space="preserve"> as the Amendments will result in some entities providing information that is more decision</w:t>
      </w:r>
      <w:r w:rsidR="00227C71">
        <w:t>-</w:t>
      </w:r>
      <w:r w:rsidR="00566F24">
        <w:t>useful</w:t>
      </w:r>
      <w:r w:rsidR="002D1248">
        <w:t xml:space="preserve"> to users of separate financial statements</w:t>
      </w:r>
      <w:bookmarkEnd w:id="16"/>
      <w:r w:rsidR="002D1248">
        <w:t>.</w:t>
      </w:r>
      <w:r w:rsidR="00566F24">
        <w:t xml:space="preserve"> Consequently,</w:t>
      </w:r>
      <w:r w:rsidR="00ED59C1" w:rsidRPr="00A63F7C">
        <w:t xml:space="preserve"> </w:t>
      </w:r>
      <w:r w:rsidR="00566F24">
        <w:t xml:space="preserve">EFRAG’s overall initial assessment is </w:t>
      </w:r>
      <w:r w:rsidR="00ED59C1" w:rsidRPr="00A63F7C">
        <w:t>that the Amendments</w:t>
      </w:r>
      <w:r w:rsidR="00566F24">
        <w:t xml:space="preserve">, </w:t>
      </w:r>
      <w:r w:rsidR="008B6970">
        <w:t>on</w:t>
      </w:r>
      <w:r w:rsidR="00566F24">
        <w:t xml:space="preserve"> balance,</w:t>
      </w:r>
      <w:r w:rsidR="00ED59C1" w:rsidRPr="00A63F7C">
        <w:t xml:space="preserve"> satisfy the comparability criterion.</w:t>
      </w:r>
    </w:p>
    <w:p w:rsidR="001175D6" w:rsidRPr="00A63F7C" w:rsidRDefault="001175D6" w:rsidP="001175D6">
      <w:pPr>
        <w:pStyle w:val="Heading3"/>
      </w:pPr>
      <w:r w:rsidRPr="00A63F7C">
        <w:lastRenderedPageBreak/>
        <w:t>Understandability</w:t>
      </w:r>
    </w:p>
    <w:p w:rsidR="001175D6" w:rsidRPr="00A63F7C" w:rsidRDefault="001175D6" w:rsidP="00BD698F">
      <w:pPr>
        <w:pStyle w:val="Normalnumberedlevel1"/>
        <w:numPr>
          <w:ilvl w:val="0"/>
          <w:numId w:val="2"/>
        </w:numPr>
      </w:pPr>
      <w:r w:rsidRPr="00A63F7C">
        <w:t>The notion of understandability requires that the financial information provided should be readily understandable by users with a reasonable knowledge of business and economic activity and accounting and the willingness to study the information with reasonable diligence.</w:t>
      </w:r>
    </w:p>
    <w:p w:rsidR="001175D6" w:rsidRPr="00A63F7C" w:rsidRDefault="001175D6" w:rsidP="00BD698F">
      <w:pPr>
        <w:pStyle w:val="Normalnumberedlevel1"/>
        <w:numPr>
          <w:ilvl w:val="0"/>
          <w:numId w:val="2"/>
        </w:numPr>
      </w:pPr>
      <w:r w:rsidRPr="00A63F7C">
        <w:t xml:space="preserve">Although there are a number of aspects to the notion of ‘understandability’, EFRAG believes that most of the aspects are covered by the discussion above about relevance, reliability and comparability. </w:t>
      </w:r>
    </w:p>
    <w:p w:rsidR="003F4B32" w:rsidRDefault="001175D6" w:rsidP="00BD698F">
      <w:pPr>
        <w:pStyle w:val="Normalnumberedlevel1"/>
        <w:numPr>
          <w:ilvl w:val="0"/>
          <w:numId w:val="2"/>
        </w:numPr>
      </w:pPr>
      <w:r w:rsidRPr="00A63F7C">
        <w:t>As a result, EFRAG believes that the main additional issue it needs to consider, in assessing whether the information resulting from the application of the Amendments are understandable, is whether that information will be unduly complex.</w:t>
      </w:r>
      <w:r w:rsidR="00E32C13">
        <w:t xml:space="preserve"> </w:t>
      </w:r>
    </w:p>
    <w:p w:rsidR="00E061E4" w:rsidRDefault="001175D6" w:rsidP="00BD698F">
      <w:pPr>
        <w:pStyle w:val="Normalnumberedlevel1"/>
        <w:numPr>
          <w:ilvl w:val="0"/>
          <w:numId w:val="2"/>
        </w:numPr>
      </w:pPr>
      <w:r w:rsidRPr="00A63F7C">
        <w:t>The Amendments do not introduce new principles or accounting</w:t>
      </w:r>
      <w:r w:rsidR="001B6B3D">
        <w:t xml:space="preserve"> procedures</w:t>
      </w:r>
      <w:r w:rsidRPr="00A63F7C">
        <w:t xml:space="preserve"> as they rely on the application of </w:t>
      </w:r>
      <w:r w:rsidR="0091546B">
        <w:t xml:space="preserve">a </w:t>
      </w:r>
      <w:r w:rsidRPr="00A63F7C">
        <w:t xml:space="preserve">generally well understood </w:t>
      </w:r>
      <w:r w:rsidR="001B6B3D">
        <w:t>accounting method</w:t>
      </w:r>
      <w:r w:rsidR="00E32C13">
        <w:t xml:space="preserve"> that </w:t>
      </w:r>
      <w:r w:rsidR="001B6B3D">
        <w:t>is already</w:t>
      </w:r>
      <w:r w:rsidR="00E32C13">
        <w:t xml:space="preserve"> appli</w:t>
      </w:r>
      <w:r w:rsidR="001B6B3D">
        <w:t>ed by many entities.</w:t>
      </w:r>
      <w:r w:rsidR="00E32C13">
        <w:t xml:space="preserve"> </w:t>
      </w:r>
    </w:p>
    <w:p w:rsidR="007220D4" w:rsidRDefault="00074AF2" w:rsidP="008B15C2">
      <w:pPr>
        <w:pStyle w:val="Normalnumberedlevel1"/>
        <w:numPr>
          <w:ilvl w:val="0"/>
          <w:numId w:val="2"/>
        </w:numPr>
      </w:pPr>
      <w:r>
        <w:t>EFRAG</w:t>
      </w:r>
      <w:r w:rsidR="00E061E4">
        <w:t xml:space="preserve"> acknowledge</w:t>
      </w:r>
      <w:r>
        <w:t>s</w:t>
      </w:r>
      <w:r w:rsidR="00E061E4">
        <w:t xml:space="preserve"> that when an entity opts to use the equity method to account for</w:t>
      </w:r>
      <w:r w:rsidR="0096497A">
        <w:t xml:space="preserve"> its investments</w:t>
      </w:r>
      <w:r>
        <w:t xml:space="preserve"> in </w:t>
      </w:r>
      <w:r w:rsidR="008C71AA">
        <w:t xml:space="preserve">its </w:t>
      </w:r>
      <w:r>
        <w:t>separate financial statements</w:t>
      </w:r>
      <w:r w:rsidR="00E061E4">
        <w:t xml:space="preserve"> there can be situations where the investor’s net assets and profit or loss attributable to the equity method</w:t>
      </w:r>
      <w:r w:rsidR="0096497A">
        <w:t xml:space="preserve"> would give a different result when compared to the consolidated financial statements.</w:t>
      </w:r>
      <w:r w:rsidR="004E149A">
        <w:t xml:space="preserve"> For example, when considering the impairment testing of goodwill in consolidated financial statements versus</w:t>
      </w:r>
      <w:r w:rsidR="004E149A" w:rsidRPr="004E149A">
        <w:t xml:space="preserve"> impairment testing of an investment accounted for under the equity method</w:t>
      </w:r>
      <w:r w:rsidR="004E149A">
        <w:t xml:space="preserve"> where the goodwill </w:t>
      </w:r>
      <w:r>
        <w:t>is included as</w:t>
      </w:r>
      <w:r w:rsidR="004E149A">
        <w:t xml:space="preserve"> part of the carrying amount of the investment. However, as explained </w:t>
      </w:r>
      <w:r w:rsidR="005257C4">
        <w:t xml:space="preserve">in paragraph </w:t>
      </w:r>
      <w:r w:rsidR="000E748E">
        <w:fldChar w:fldCharType="begin"/>
      </w:r>
      <w:r w:rsidR="005257C4">
        <w:instrText xml:space="preserve"> REF _Ref398220687 \r \h </w:instrText>
      </w:r>
      <w:r w:rsidR="000E748E">
        <w:fldChar w:fldCharType="separate"/>
      </w:r>
      <w:r w:rsidR="00491F6E">
        <w:t>6</w:t>
      </w:r>
      <w:r w:rsidR="000E748E">
        <w:fldChar w:fldCharType="end"/>
      </w:r>
      <w:r w:rsidR="00A83CB6">
        <w:t>,</w:t>
      </w:r>
      <w:r w:rsidR="008B15C2">
        <w:t xml:space="preserve"> differences betw</w:t>
      </w:r>
      <w:r w:rsidR="00F1261A">
        <w:t xml:space="preserve">een separate and consolidated </w:t>
      </w:r>
      <w:r w:rsidR="00F1261A">
        <w:softHyphen/>
      </w:r>
      <w:r w:rsidR="008B15C2">
        <w:t>finan</w:t>
      </w:r>
      <w:r w:rsidR="005257C4">
        <w:t>cial statements can be understood by users as</w:t>
      </w:r>
      <w:r w:rsidR="00A83CB6">
        <w:t xml:space="preserve"> consolidated and separate</w:t>
      </w:r>
      <w:r w:rsidR="008B15C2">
        <w:softHyphen/>
        <w:t xml:space="preserve"> financial statements reflect different views: the view of a group and the view of </w:t>
      </w:r>
      <w:r w:rsidR="00C44173">
        <w:t>an individual</w:t>
      </w:r>
      <w:r w:rsidR="008B15C2">
        <w:t xml:space="preserve"> entity.</w:t>
      </w:r>
    </w:p>
    <w:p w:rsidR="00E32C13" w:rsidRDefault="00E32C13" w:rsidP="00BD698F">
      <w:pPr>
        <w:pStyle w:val="Normalnumberedlevel1"/>
        <w:numPr>
          <w:ilvl w:val="0"/>
          <w:numId w:val="2"/>
        </w:numPr>
      </w:pPr>
      <w:r>
        <w:t>In EFRAG’s views, applying th</w:t>
      </w:r>
      <w:r w:rsidR="001B6B3D">
        <w:t>e equity method</w:t>
      </w:r>
      <w:r>
        <w:t xml:space="preserve"> to s</w:t>
      </w:r>
      <w:r w:rsidR="001B6B3D">
        <w:t>eparate financial statements</w:t>
      </w:r>
      <w:r>
        <w:t xml:space="preserve"> does not </w:t>
      </w:r>
      <w:r w:rsidR="00110196">
        <w:t>add</w:t>
      </w:r>
      <w:r w:rsidR="001175D6" w:rsidRPr="00A63F7C">
        <w:t xml:space="preserve"> </w:t>
      </w:r>
      <w:r w:rsidR="00110196">
        <w:t xml:space="preserve">undue </w:t>
      </w:r>
      <w:r w:rsidR="001175D6" w:rsidRPr="00A63F7C">
        <w:t>complex</w:t>
      </w:r>
      <w:r w:rsidR="00110196">
        <w:t>ity</w:t>
      </w:r>
      <w:r>
        <w:t xml:space="preserve"> to the extent </w:t>
      </w:r>
      <w:r w:rsidR="001175D6" w:rsidRPr="00A63F7C">
        <w:t xml:space="preserve">that </w:t>
      </w:r>
      <w:r>
        <w:t xml:space="preserve">it </w:t>
      </w:r>
      <w:r w:rsidR="001175D6" w:rsidRPr="00A63F7C">
        <w:t>may impair</w:t>
      </w:r>
      <w:r w:rsidR="001B6B3D" w:rsidRPr="001B6B3D">
        <w:t xml:space="preserve"> </w:t>
      </w:r>
      <w:r w:rsidR="001B6B3D">
        <w:t>u</w:t>
      </w:r>
      <w:r w:rsidR="001B6B3D" w:rsidRPr="001B6B3D">
        <w:t>nderstandability</w:t>
      </w:r>
      <w:r w:rsidR="001175D6" w:rsidRPr="00A63F7C">
        <w:t>.</w:t>
      </w:r>
    </w:p>
    <w:p w:rsidR="001175D6" w:rsidRPr="00A63F7C" w:rsidRDefault="001175D6" w:rsidP="00BD698F">
      <w:pPr>
        <w:pStyle w:val="Normalnumberedlevel1"/>
        <w:numPr>
          <w:ilvl w:val="0"/>
          <w:numId w:val="2"/>
        </w:numPr>
      </w:pPr>
      <w:r w:rsidRPr="00A63F7C">
        <w:t>Therefore, EFRAG’s overall initial assessment is that the Amendments satisfy the understandability criterion in all material respects.</w:t>
      </w:r>
    </w:p>
    <w:p w:rsidR="001175D6" w:rsidRPr="00A63F7C" w:rsidRDefault="001175D6" w:rsidP="001175D6">
      <w:pPr>
        <w:pStyle w:val="Heading3"/>
      </w:pPr>
      <w:r w:rsidRPr="00A63F7C">
        <w:t>True and Fair</w:t>
      </w:r>
    </w:p>
    <w:p w:rsidR="00A76247" w:rsidRPr="00B30F89" w:rsidRDefault="00EE2B2A" w:rsidP="00B30F89">
      <w:pPr>
        <w:pStyle w:val="Normalnumberedlevel1"/>
        <w:numPr>
          <w:ilvl w:val="0"/>
          <w:numId w:val="2"/>
        </w:numPr>
        <w:tabs>
          <w:tab w:val="clear" w:pos="567"/>
          <w:tab w:val="clear" w:pos="1134"/>
          <w:tab w:val="clear" w:pos="1701"/>
          <w:tab w:val="clear" w:pos="2268"/>
          <w:tab w:val="clear" w:pos="2835"/>
        </w:tabs>
        <w:rPr>
          <w:rFonts w:eastAsiaTheme="minorHAnsi"/>
          <w:sz w:val="20"/>
        </w:rPr>
      </w:pPr>
      <w:bookmarkStart w:id="17" w:name="_Ref398282261"/>
      <w:r>
        <w:t xml:space="preserve">EFRAG’s initial assessment is that the information resulting from the application of </w:t>
      </w:r>
      <w:r w:rsidR="009E6F17">
        <w:t>the Amendments</w:t>
      </w:r>
      <w:r>
        <w:t xml:space="preserve"> would not be contrary to the true and fair view principle</w:t>
      </w:r>
      <w:r w:rsidR="009E6F17">
        <w:t>.</w:t>
      </w:r>
      <w:bookmarkEnd w:id="17"/>
      <w:r>
        <w:t xml:space="preserve"> </w:t>
      </w:r>
    </w:p>
    <w:p w:rsidR="001175D6" w:rsidRPr="00A63F7C" w:rsidRDefault="001175D6" w:rsidP="001175D6">
      <w:pPr>
        <w:pStyle w:val="Heading3"/>
      </w:pPr>
      <w:r w:rsidRPr="00A63F7C">
        <w:t>European public good</w:t>
      </w:r>
    </w:p>
    <w:p w:rsidR="001175D6" w:rsidRPr="00A63F7C" w:rsidRDefault="001175D6" w:rsidP="00BD698F">
      <w:pPr>
        <w:pStyle w:val="Normalnumberedlevel1"/>
        <w:numPr>
          <w:ilvl w:val="0"/>
          <w:numId w:val="2"/>
        </w:numPr>
      </w:pPr>
      <w:r w:rsidRPr="00A63F7C">
        <w:t>EFRAG is not aware of any reason to believe that it is not conducive to the European public good to adopt the Amendments.</w:t>
      </w:r>
    </w:p>
    <w:p w:rsidR="001175D6" w:rsidRPr="00A63F7C" w:rsidRDefault="001175D6" w:rsidP="001175D6">
      <w:pPr>
        <w:pStyle w:val="Heading2"/>
      </w:pPr>
      <w:r w:rsidRPr="00A63F7C">
        <w:t>Conclusion</w:t>
      </w:r>
    </w:p>
    <w:p w:rsidR="001175D6" w:rsidRPr="00A63F7C" w:rsidRDefault="001175D6" w:rsidP="00BD698F">
      <w:pPr>
        <w:pStyle w:val="Normalnumberedlevel1"/>
        <w:numPr>
          <w:ilvl w:val="0"/>
          <w:numId w:val="2"/>
        </w:numPr>
      </w:pPr>
      <w:r w:rsidRPr="00A63F7C">
        <w:t xml:space="preserve">For the reasons set out above, EFRAG’s initial assessment is that the Amendments satisfy the technical criteria for EU endorsement and EFRAG should therefore recommend its endorsement. </w:t>
      </w:r>
    </w:p>
    <w:p w:rsidR="006E67AD" w:rsidRDefault="006E67AD">
      <w:pPr>
        <w:tabs>
          <w:tab w:val="clear" w:pos="567"/>
          <w:tab w:val="clear" w:pos="1134"/>
          <w:tab w:val="clear" w:pos="1701"/>
          <w:tab w:val="clear" w:pos="2268"/>
          <w:tab w:val="clear" w:pos="2835"/>
        </w:tabs>
        <w:spacing w:before="0" w:after="0"/>
        <w:rPr>
          <w:rFonts w:cs="Arial"/>
          <w:b/>
          <w:bCs/>
          <w:iCs/>
          <w:kern w:val="32"/>
          <w:szCs w:val="28"/>
          <w:lang w:eastAsia="en-US"/>
        </w:rPr>
      </w:pPr>
      <w:bookmarkStart w:id="18" w:name="OLE_LINK1"/>
      <w:bookmarkStart w:id="19" w:name="OLE_LINK2"/>
      <w:r>
        <w:br w:type="page"/>
      </w:r>
    </w:p>
    <w:p w:rsidR="001175D6" w:rsidRPr="00A63F7C" w:rsidRDefault="001175D6" w:rsidP="001175D6">
      <w:pPr>
        <w:pStyle w:val="Heading2"/>
      </w:pPr>
      <w:r w:rsidRPr="00A63F7C">
        <w:lastRenderedPageBreak/>
        <w:t>Appendix 3</w:t>
      </w:r>
    </w:p>
    <w:p w:rsidR="001175D6" w:rsidRPr="00A63F7C" w:rsidRDefault="001175D6" w:rsidP="001175D6">
      <w:pPr>
        <w:pStyle w:val="Heading2"/>
        <w:rPr>
          <w:color w:val="000000"/>
        </w:rPr>
      </w:pPr>
      <w:r w:rsidRPr="00A63F7C">
        <w:t>EFRAG’s evaluation of the costs and benefits of the amendment</w:t>
      </w:r>
    </w:p>
    <w:p w:rsidR="001175D6" w:rsidRPr="00A63F7C" w:rsidRDefault="001175D6" w:rsidP="00BD698F">
      <w:pPr>
        <w:pStyle w:val="Normalnumberedlevel1"/>
        <w:numPr>
          <w:ilvl w:val="0"/>
          <w:numId w:val="12"/>
        </w:numPr>
      </w:pPr>
      <w:r w:rsidRPr="00A63F7C">
        <w:t>EFRAG has also considered whether, and if so to what extent, implementing the Amendments</w:t>
      </w:r>
      <w:r w:rsidRPr="00AC152F">
        <w:rPr>
          <w:i/>
          <w:iCs/>
        </w:rPr>
        <w:t xml:space="preserve"> </w:t>
      </w:r>
      <w:r w:rsidRPr="00A63F7C">
        <w:t xml:space="preserve">in the EU might result in incremental costs for preparers and/or users, and whether those costs are likely to be exceeded by the benefits to be derived from their adoption. </w:t>
      </w:r>
    </w:p>
    <w:p w:rsidR="001175D6" w:rsidRPr="00A63F7C" w:rsidRDefault="001175D6" w:rsidP="001175D6">
      <w:pPr>
        <w:pStyle w:val="Heading2"/>
      </w:pPr>
      <w:r w:rsidRPr="00A63F7C">
        <w:t>Cost for preparers</w:t>
      </w:r>
    </w:p>
    <w:p w:rsidR="001175D6" w:rsidRPr="00A63F7C" w:rsidRDefault="001175D6" w:rsidP="00BD698F">
      <w:pPr>
        <w:pStyle w:val="Normalnumberedlevel1"/>
        <w:numPr>
          <w:ilvl w:val="0"/>
          <w:numId w:val="2"/>
        </w:numPr>
      </w:pPr>
      <w:bookmarkStart w:id="20" w:name="_Ref394058021"/>
      <w:r w:rsidRPr="00A63F7C">
        <w:t>EFRAG has carried out an initial assessment of the cost implications for preparers resulting from the Amendments.</w:t>
      </w:r>
      <w:bookmarkEnd w:id="20"/>
    </w:p>
    <w:p w:rsidR="005F3642" w:rsidRDefault="001175D6" w:rsidP="00BD698F">
      <w:pPr>
        <w:pStyle w:val="Normalnumberedlevel1"/>
        <w:numPr>
          <w:ilvl w:val="0"/>
          <w:numId w:val="2"/>
        </w:numPr>
      </w:pPr>
      <w:bookmarkStart w:id="21" w:name="_Ref394058884"/>
      <w:r w:rsidRPr="00A63F7C">
        <w:t>EFRAG believes that the Amendments</w:t>
      </w:r>
      <w:r w:rsidRPr="00A63F7C">
        <w:rPr>
          <w:i/>
          <w:iCs/>
        </w:rPr>
        <w:t xml:space="preserve"> </w:t>
      </w:r>
      <w:r w:rsidRPr="00A63F7C">
        <w:t xml:space="preserve">will not result in increased costs </w:t>
      </w:r>
      <w:r w:rsidR="00C83E6B">
        <w:t>for</w:t>
      </w:r>
      <w:r w:rsidRPr="00A63F7C">
        <w:t xml:space="preserve"> most preparers (i.e., they are likely to be cost neutral)</w:t>
      </w:r>
      <w:r w:rsidR="00C83E6B">
        <w:t>,</w:t>
      </w:r>
      <w:r w:rsidRPr="00A63F7C">
        <w:t xml:space="preserve"> </w:t>
      </w:r>
      <w:r w:rsidR="00FE66B5">
        <w:t>particularly when considering that</w:t>
      </w:r>
      <w:r w:rsidRPr="00A63F7C">
        <w:t xml:space="preserve"> the </w:t>
      </w:r>
      <w:r w:rsidR="00BE5E27">
        <w:t>use of the equity method is</w:t>
      </w:r>
      <w:r w:rsidRPr="00A63F7C">
        <w:t xml:space="preserve"> optional. </w:t>
      </w:r>
    </w:p>
    <w:p w:rsidR="004D055E" w:rsidRDefault="005F3642" w:rsidP="00BD698F">
      <w:pPr>
        <w:pStyle w:val="Normalnumberedlevel1"/>
        <w:numPr>
          <w:ilvl w:val="0"/>
          <w:numId w:val="2"/>
        </w:numPr>
      </w:pPr>
      <w:bookmarkStart w:id="22" w:name="_Ref396303846"/>
      <w:bookmarkStart w:id="23" w:name="_Ref396379088"/>
      <w:bookmarkEnd w:id="21"/>
      <w:r>
        <w:t xml:space="preserve">However, EFRAG notes that an entity electing to change from </w:t>
      </w:r>
      <w:r w:rsidR="00243A32">
        <w:t>‘</w:t>
      </w:r>
      <w:r>
        <w:t>cost</w:t>
      </w:r>
      <w:r w:rsidR="00243A32">
        <w:t>’</w:t>
      </w:r>
      <w:r>
        <w:t xml:space="preserve"> or </w:t>
      </w:r>
      <w:r w:rsidR="00243A32">
        <w:t>‘</w:t>
      </w:r>
      <w:r>
        <w:t>fair value</w:t>
      </w:r>
      <w:r w:rsidR="00243A32">
        <w:t>’</w:t>
      </w:r>
      <w:r w:rsidR="007D18D3">
        <w:t xml:space="preserve"> to</w:t>
      </w:r>
      <w:r>
        <w:t xml:space="preserve"> </w:t>
      </w:r>
      <w:r w:rsidR="007D18D3">
        <w:t>‘</w:t>
      </w:r>
      <w:r>
        <w:t>equity method</w:t>
      </w:r>
      <w:r w:rsidR="007D18D3">
        <w:t>’</w:t>
      </w:r>
      <w:r>
        <w:t xml:space="preserve"> will be required to apply that change retrospectively. In </w:t>
      </w:r>
      <w:r w:rsidR="00C83E6B">
        <w:t>EFRAG’s</w:t>
      </w:r>
      <w:r>
        <w:t xml:space="preserve"> view,</w:t>
      </w:r>
      <w:r w:rsidR="001175D6" w:rsidRPr="00A63F7C">
        <w:t xml:space="preserve"> an entity may</w:t>
      </w:r>
      <w:r w:rsidR="00BE5E27">
        <w:t>,</w:t>
      </w:r>
      <w:r w:rsidR="00690BFD">
        <w:t xml:space="preserve"> </w:t>
      </w:r>
      <w:r>
        <w:t>in some cases,</w:t>
      </w:r>
      <w:r w:rsidR="001175D6" w:rsidRPr="00A63F7C">
        <w:t xml:space="preserve"> be able to use the information that is used for consolidation of the subsidiary in its consolidated financial statements </w:t>
      </w:r>
      <w:r>
        <w:t>to</w:t>
      </w:r>
      <w:r w:rsidR="001175D6" w:rsidRPr="00A63F7C">
        <w:t xml:space="preserve"> apply the equity method </w:t>
      </w:r>
      <w:r>
        <w:t xml:space="preserve">retrospectively </w:t>
      </w:r>
      <w:r w:rsidR="001175D6" w:rsidRPr="00A63F7C">
        <w:t xml:space="preserve">to </w:t>
      </w:r>
      <w:r>
        <w:t>an</w:t>
      </w:r>
      <w:r w:rsidR="001175D6" w:rsidRPr="00A63F7C">
        <w:t xml:space="preserve"> investment in </w:t>
      </w:r>
      <w:r>
        <w:t>a</w:t>
      </w:r>
      <w:r w:rsidR="001175D6" w:rsidRPr="00A63F7C">
        <w:t xml:space="preserve"> subsidiary in its separate financial statements. </w:t>
      </w:r>
      <w:r w:rsidR="00227C83">
        <w:t>This</w:t>
      </w:r>
      <w:r w:rsidR="00074AF2">
        <w:t xml:space="preserve"> is</w:t>
      </w:r>
      <w:r w:rsidR="00227C83">
        <w:t xml:space="preserve"> because</w:t>
      </w:r>
      <w:r w:rsidR="004D055E">
        <w:t>,</w:t>
      </w:r>
      <w:r w:rsidR="00227C83">
        <w:t xml:space="preserve"> in</w:t>
      </w:r>
      <w:r w:rsidR="004D055E">
        <w:t xml:space="preserve"> those</w:t>
      </w:r>
      <w:r w:rsidR="00227C83">
        <w:t xml:space="preserve"> cases</w:t>
      </w:r>
      <w:r w:rsidR="004D055E">
        <w:t>,</w:t>
      </w:r>
      <w:r w:rsidR="00227C83">
        <w:t xml:space="preserve"> the investor’s net assets and profit or loss attributable to the equity holder will be the same in its consolidated and separate financial statements when the investment is accounted for using the equity method as described in IAS 28. </w:t>
      </w:r>
    </w:p>
    <w:p w:rsidR="00243A32" w:rsidRDefault="004D055E" w:rsidP="00BD698F">
      <w:pPr>
        <w:pStyle w:val="Normalnumberedlevel1"/>
        <w:numPr>
          <w:ilvl w:val="0"/>
          <w:numId w:val="2"/>
        </w:numPr>
      </w:pPr>
      <w:bookmarkStart w:id="24" w:name="_Ref396405018"/>
      <w:r>
        <w:t>Nonetheless, t</w:t>
      </w:r>
      <w:r w:rsidR="005F3642">
        <w:t xml:space="preserve">here are many instances in which </w:t>
      </w:r>
      <w:r w:rsidR="00227C83">
        <w:t>applying the equity method to investments</w:t>
      </w:r>
      <w:r w:rsidR="00074AF2">
        <w:t xml:space="preserve"> </w:t>
      </w:r>
      <w:r w:rsidR="00227C83">
        <w:t>in subsidiaries would give a different result compared to consolidated financial statements. T</w:t>
      </w:r>
      <w:r w:rsidR="005F3642">
        <w:t xml:space="preserve">herefore, EFRAG does not believe it will always </w:t>
      </w:r>
      <w:r w:rsidR="00074AF2">
        <w:t xml:space="preserve">be </w:t>
      </w:r>
      <w:r w:rsidR="005F3642">
        <w:t>possible to derive the carrying amount under the equity method directly from the consolidated financial statements</w:t>
      </w:r>
      <w:r w:rsidR="00227C83">
        <w:t>;</w:t>
      </w:r>
      <w:r w:rsidR="005F3642">
        <w:t xml:space="preserve"> rather, determining the proper carrying</w:t>
      </w:r>
      <w:r w:rsidR="009B3B82">
        <w:t xml:space="preserve"> amount may require an additional effort, which </w:t>
      </w:r>
      <w:r w:rsidR="00BD09CC">
        <w:t xml:space="preserve">will </w:t>
      </w:r>
      <w:r w:rsidR="00B267B1">
        <w:t>be</w:t>
      </w:r>
      <w:r w:rsidR="00BD09CC">
        <w:t xml:space="preserve"> a</w:t>
      </w:r>
      <w:r>
        <w:t xml:space="preserve"> one-of</w:t>
      </w:r>
      <w:r w:rsidR="00227C71">
        <w:t xml:space="preserve">f </w:t>
      </w:r>
      <w:r>
        <w:t>cost for those entities that</w:t>
      </w:r>
      <w:r w:rsidR="00BD09CC">
        <w:t xml:space="preserve"> opt to change to the equity method.</w:t>
      </w:r>
      <w:bookmarkEnd w:id="22"/>
      <w:r w:rsidR="000B1D7A">
        <w:t xml:space="preserve"> Still, </w:t>
      </w:r>
      <w:r w:rsidR="00FE66B5">
        <w:t>considering that the use of the equity method is optional, we</w:t>
      </w:r>
      <w:r w:rsidR="000B1D7A">
        <w:t xml:space="preserve"> anticipate that the decision to change to</w:t>
      </w:r>
      <w:r w:rsidR="00074AF2">
        <w:t xml:space="preserve"> the</w:t>
      </w:r>
      <w:r w:rsidR="000B1D7A">
        <w:t xml:space="preserve"> equity method will</w:t>
      </w:r>
      <w:r w:rsidR="009A0CD1">
        <w:t xml:space="preserve"> </w:t>
      </w:r>
      <w:r w:rsidR="007D18D3">
        <w:t>be based on</w:t>
      </w:r>
      <w:r w:rsidR="000B1D7A">
        <w:t xml:space="preserve"> other </w:t>
      </w:r>
      <w:r w:rsidR="009A0CD1">
        <w:t>expected benefits that will</w:t>
      </w:r>
      <w:r w:rsidR="000B1D7A">
        <w:t xml:space="preserve"> arise from that change.</w:t>
      </w:r>
      <w:bookmarkEnd w:id="23"/>
      <w:bookmarkEnd w:id="24"/>
    </w:p>
    <w:p w:rsidR="001175D6" w:rsidRPr="00A63F7C" w:rsidRDefault="00B26D5B" w:rsidP="00BD698F">
      <w:pPr>
        <w:pStyle w:val="Normalnumberedlevel1"/>
        <w:numPr>
          <w:ilvl w:val="0"/>
          <w:numId w:val="2"/>
        </w:numPr>
      </w:pPr>
      <w:r>
        <w:t xml:space="preserve">Overall, </w:t>
      </w:r>
      <w:r w:rsidR="006E67AD">
        <w:t>EFRAG believes</w:t>
      </w:r>
      <w:r w:rsidR="001175D6" w:rsidRPr="00A63F7C">
        <w:t xml:space="preserve"> that the Amendments will not result in increased costs to most preparers.</w:t>
      </w:r>
    </w:p>
    <w:p w:rsidR="001175D6" w:rsidRPr="00A63F7C" w:rsidRDefault="001175D6" w:rsidP="001175D6">
      <w:pPr>
        <w:pStyle w:val="Heading2"/>
      </w:pPr>
      <w:r w:rsidRPr="00A63F7C">
        <w:t>Costs for users</w:t>
      </w:r>
    </w:p>
    <w:p w:rsidR="001175D6" w:rsidRDefault="001175D6" w:rsidP="00BD698F">
      <w:pPr>
        <w:pStyle w:val="Normalnumberedlevel1"/>
        <w:numPr>
          <w:ilvl w:val="0"/>
          <w:numId w:val="2"/>
        </w:numPr>
      </w:pPr>
      <w:bookmarkStart w:id="25" w:name="_Ref394058051"/>
      <w:r w:rsidRPr="00A63F7C">
        <w:t xml:space="preserve">EFRAG has carried out an initial assessment of the cost implications for users resulting from the </w:t>
      </w:r>
      <w:bookmarkEnd w:id="25"/>
      <w:r w:rsidR="00FD4FBB" w:rsidRPr="00A63F7C">
        <w:t>Amendments.</w:t>
      </w:r>
    </w:p>
    <w:p w:rsidR="00791C1E" w:rsidRPr="00A63F7C" w:rsidRDefault="00BD09CC" w:rsidP="00BD698F">
      <w:pPr>
        <w:pStyle w:val="Normalnumberedlevel1"/>
        <w:numPr>
          <w:ilvl w:val="0"/>
          <w:numId w:val="2"/>
        </w:numPr>
      </w:pPr>
      <w:bookmarkStart w:id="26" w:name="_Ref396375531"/>
      <w:r>
        <w:t>Overall, EFRAG’s initial assessment is that the Amendments</w:t>
      </w:r>
      <w:r w:rsidR="00E51B3E">
        <w:t>, in general,</w:t>
      </w:r>
      <w:r>
        <w:t xml:space="preserve"> </w:t>
      </w:r>
      <w:r w:rsidR="003A1680">
        <w:t xml:space="preserve">will not result in </w:t>
      </w:r>
      <w:r w:rsidR="0038065D">
        <w:t xml:space="preserve">significant </w:t>
      </w:r>
      <w:r w:rsidR="003A1680">
        <w:t>i</w:t>
      </w:r>
      <w:r w:rsidR="0038065D">
        <w:t>ncreased costs to users. Still</w:t>
      </w:r>
      <w:r w:rsidR="003A1680">
        <w:t xml:space="preserve">, when an entity opts to change from </w:t>
      </w:r>
      <w:r w:rsidR="007D18D3">
        <w:t>‘</w:t>
      </w:r>
      <w:r w:rsidR="003A1680">
        <w:t>cost</w:t>
      </w:r>
      <w:r w:rsidR="007D18D3">
        <w:t>’</w:t>
      </w:r>
      <w:r w:rsidR="003A1680">
        <w:t xml:space="preserve"> or </w:t>
      </w:r>
      <w:r w:rsidR="007D18D3">
        <w:t>‘</w:t>
      </w:r>
      <w:r w:rsidR="003A1680">
        <w:t>fair value</w:t>
      </w:r>
      <w:r w:rsidR="007D18D3">
        <w:t>’ to</w:t>
      </w:r>
      <w:r w:rsidR="003A1680">
        <w:t xml:space="preserve"> </w:t>
      </w:r>
      <w:r w:rsidR="007D18D3">
        <w:t>‘</w:t>
      </w:r>
      <w:r w:rsidR="003A1680">
        <w:t>equity method</w:t>
      </w:r>
      <w:r w:rsidR="007D18D3">
        <w:t>’</w:t>
      </w:r>
      <w:r w:rsidR="003A1680">
        <w:t xml:space="preserve"> and applies that change retrospectively</w:t>
      </w:r>
      <w:r w:rsidR="004D055E">
        <w:t>,</w:t>
      </w:r>
      <w:r w:rsidR="003A1680">
        <w:t xml:space="preserve"> users are likely to</w:t>
      </w:r>
      <w:r>
        <w:t xml:space="preserve"> </w:t>
      </w:r>
      <w:r w:rsidR="004D055E">
        <w:t>incur</w:t>
      </w:r>
      <w:r w:rsidR="0038065D">
        <w:t xml:space="preserve"> some</w:t>
      </w:r>
      <w:r>
        <w:t xml:space="preserve"> costs related</w:t>
      </w:r>
      <w:r w:rsidR="004D055E">
        <w:t xml:space="preserve"> to</w:t>
      </w:r>
      <w:r>
        <w:t xml:space="preserve"> </w:t>
      </w:r>
      <w:r w:rsidR="004D055E">
        <w:t>updating analyse</w:t>
      </w:r>
      <w:r w:rsidR="00791C1E">
        <w:t>s or da</w:t>
      </w:r>
      <w:r w:rsidR="004D055E">
        <w:t>tabases for comparative</w:t>
      </w:r>
      <w:r w:rsidR="00791C1E">
        <w:t xml:space="preserve"> information. Users will also have to assess the impact of that change </w:t>
      </w:r>
      <w:r w:rsidR="008F5B30">
        <w:t>on the financial performance and position of the company.</w:t>
      </w:r>
      <w:bookmarkEnd w:id="26"/>
    </w:p>
    <w:p w:rsidR="001175D6" w:rsidRPr="008C415E" w:rsidRDefault="009A0CD1" w:rsidP="00BD698F">
      <w:pPr>
        <w:pStyle w:val="Normalnumberedlevel1"/>
        <w:numPr>
          <w:ilvl w:val="0"/>
          <w:numId w:val="2"/>
        </w:numPr>
      </w:pPr>
      <w:bookmarkStart w:id="27" w:name="_Ref396375575"/>
      <w:r w:rsidRPr="008C415E">
        <w:t>Those u</w:t>
      </w:r>
      <w:r w:rsidR="001175D6" w:rsidRPr="008C415E">
        <w:t>sers</w:t>
      </w:r>
      <w:r w:rsidRPr="008C415E">
        <w:t xml:space="preserve">, if any, who prefer to restate the amounts included in each category of investment </w:t>
      </w:r>
      <w:r w:rsidR="00C07B0F">
        <w:t>with the objective of</w:t>
      </w:r>
      <w:r w:rsidRPr="008C415E">
        <w:t xml:space="preserve"> obtain</w:t>
      </w:r>
      <w:r w:rsidR="00C07B0F">
        <w:t>ing</w:t>
      </w:r>
      <w:r w:rsidRPr="008C415E">
        <w:t xml:space="preserve"> information in a </w:t>
      </w:r>
      <w:r w:rsidR="00C07B0F">
        <w:t>‘</w:t>
      </w:r>
      <w:r w:rsidRPr="008C415E">
        <w:t>comparable format</w:t>
      </w:r>
      <w:r w:rsidR="00C07B0F">
        <w:t>’</w:t>
      </w:r>
      <w:r w:rsidRPr="008C415E">
        <w:t xml:space="preserve"> </w:t>
      </w:r>
      <w:r w:rsidR="001175D6" w:rsidRPr="008C415E">
        <w:t>may have to incur</w:t>
      </w:r>
      <w:r w:rsidRPr="008C415E">
        <w:t xml:space="preserve"> additional </w:t>
      </w:r>
      <w:r w:rsidR="001175D6" w:rsidRPr="008C415E">
        <w:t>ongoing costs as a result of</w:t>
      </w:r>
      <w:r w:rsidR="007D18D3">
        <w:t xml:space="preserve"> the introduction of an additional</w:t>
      </w:r>
      <w:r w:rsidR="001175D6" w:rsidRPr="008C415E">
        <w:t xml:space="preserve"> </w:t>
      </w:r>
      <w:r w:rsidR="007D18D3">
        <w:t>accounting policy</w:t>
      </w:r>
      <w:r w:rsidR="00C07B0F">
        <w:t xml:space="preserve"> </w:t>
      </w:r>
      <w:r w:rsidR="001175D6" w:rsidRPr="008C415E">
        <w:t>option.</w:t>
      </w:r>
      <w:bookmarkEnd w:id="27"/>
    </w:p>
    <w:p w:rsidR="001175D6" w:rsidRPr="00A63F7C" w:rsidRDefault="001175D6" w:rsidP="001175D6">
      <w:pPr>
        <w:pStyle w:val="Heading2"/>
      </w:pPr>
      <w:r w:rsidRPr="00A63F7C">
        <w:lastRenderedPageBreak/>
        <w:t>Benefits for preparers and users</w:t>
      </w:r>
    </w:p>
    <w:p w:rsidR="001175D6" w:rsidRPr="00A63F7C" w:rsidRDefault="001175D6" w:rsidP="00BD698F">
      <w:pPr>
        <w:pStyle w:val="Normalnumberedlevel1"/>
        <w:numPr>
          <w:ilvl w:val="0"/>
          <w:numId w:val="2"/>
        </w:numPr>
      </w:pPr>
      <w:bookmarkStart w:id="28" w:name="_Ref394058128"/>
      <w:r w:rsidRPr="00A63F7C">
        <w:t>EFRAG has carried out an initial assessment of the benefits for users and preparers resulting from the Amendments</w:t>
      </w:r>
      <w:bookmarkEnd w:id="28"/>
      <w:r w:rsidRPr="00A63F7C">
        <w:t xml:space="preserve"> </w:t>
      </w:r>
    </w:p>
    <w:p w:rsidR="00A3152D" w:rsidRDefault="00A3152D" w:rsidP="00A3152D">
      <w:pPr>
        <w:pStyle w:val="Normalnumberedlevel1"/>
        <w:numPr>
          <w:ilvl w:val="0"/>
          <w:numId w:val="2"/>
        </w:numPr>
      </w:pPr>
      <w:r w:rsidRPr="00A3152D">
        <w:t xml:space="preserve">EFRAG’s initial assessment </w:t>
      </w:r>
      <w:r>
        <w:t>is that the Amendments</w:t>
      </w:r>
      <w:r w:rsidRPr="00A3152D">
        <w:t xml:space="preserve"> will not result in </w:t>
      </w:r>
      <w:r>
        <w:t>significant benefits for</w:t>
      </w:r>
      <w:r w:rsidR="00227C71">
        <w:t xml:space="preserve"> all</w:t>
      </w:r>
      <w:r w:rsidRPr="00A3152D">
        <w:t xml:space="preserve"> preparer</w:t>
      </w:r>
      <w:r>
        <w:t>s, i.e., it is likely to be</w:t>
      </w:r>
      <w:r w:rsidRPr="00A3152D">
        <w:t xml:space="preserve"> neutral</w:t>
      </w:r>
      <w:r>
        <w:t xml:space="preserve"> for </w:t>
      </w:r>
      <w:r w:rsidR="00227C71">
        <w:t xml:space="preserve">many </w:t>
      </w:r>
      <w:r>
        <w:t xml:space="preserve">preparers. However, EFRAG acknowledges that preparers might choose to use the equity method to account for investments in subsidiaries, joint ventures and associates in the separate financial statements when they expect </w:t>
      </w:r>
      <w:r w:rsidR="00A76427">
        <w:t>benefits from using</w:t>
      </w:r>
      <w:r w:rsidR="00BD6756">
        <w:t xml:space="preserve"> that option</w:t>
      </w:r>
      <w:r w:rsidR="003F0C60">
        <w:t xml:space="preserve"> (e.g. for local compliance purposes)</w:t>
      </w:r>
      <w:r w:rsidR="00227C71">
        <w:t xml:space="preserve"> to exceed the costs</w:t>
      </w:r>
      <w:r w:rsidR="00A76427">
        <w:t>.</w:t>
      </w:r>
    </w:p>
    <w:p w:rsidR="001175D6" w:rsidRPr="00A63F7C" w:rsidRDefault="001175D6" w:rsidP="00BD698F">
      <w:pPr>
        <w:pStyle w:val="Normalnumberedlevel1"/>
        <w:numPr>
          <w:ilvl w:val="0"/>
          <w:numId w:val="2"/>
        </w:numPr>
      </w:pPr>
      <w:r w:rsidRPr="00A63F7C">
        <w:t>Users are likely to benefit from an accounting policy option that allows the incorporation, over time, of the results of an investee into the investor’s financial statements.</w:t>
      </w:r>
      <w:r w:rsidR="009B3B82" w:rsidRPr="009B3B82">
        <w:t xml:space="preserve"> </w:t>
      </w:r>
      <w:r w:rsidR="009B3B82" w:rsidRPr="00A63F7C">
        <w:t>Consequently, the use of the equity method provides timely, relevant and reliable information about the investment’s performance and economic value</w:t>
      </w:r>
      <w:r w:rsidR="00FE66B5">
        <w:t xml:space="preserve"> to users of separate financial statements</w:t>
      </w:r>
      <w:r w:rsidR="009B3B82" w:rsidRPr="00A63F7C">
        <w:t>.</w:t>
      </w:r>
    </w:p>
    <w:p w:rsidR="001175D6" w:rsidRPr="00A63F7C" w:rsidRDefault="001175D6" w:rsidP="00BD698F">
      <w:pPr>
        <w:pStyle w:val="Normalnumberedlevel1"/>
        <w:numPr>
          <w:ilvl w:val="0"/>
          <w:numId w:val="2"/>
        </w:numPr>
      </w:pPr>
      <w:bookmarkStart w:id="29" w:name="_Ref396403709"/>
      <w:r w:rsidRPr="00A63F7C">
        <w:t>Overall, EFRAG’s initial assessment is that users are likely to benefit from the Amendments, despite the decreased comparability induced by the accounting policy options, as the information resulting from the Amendments will provide relevant and reliable information about the investment’s performance and economic value.</w:t>
      </w:r>
      <w:bookmarkEnd w:id="29"/>
    </w:p>
    <w:p w:rsidR="001175D6" w:rsidRPr="00A63F7C" w:rsidRDefault="001175D6" w:rsidP="001175D6">
      <w:pPr>
        <w:pStyle w:val="Heading2"/>
      </w:pPr>
      <w:r w:rsidRPr="00A63F7C">
        <w:t>Conclusion</w:t>
      </w:r>
    </w:p>
    <w:p w:rsidR="00951AF5" w:rsidRDefault="001175D6" w:rsidP="00BD698F">
      <w:pPr>
        <w:pStyle w:val="Normalnumberedlevel1"/>
        <w:numPr>
          <w:ilvl w:val="0"/>
          <w:numId w:val="2"/>
        </w:numPr>
      </w:pPr>
      <w:bookmarkStart w:id="30" w:name="_Ref400959078"/>
      <w:r w:rsidRPr="007D18D3">
        <w:t>EFRAG’s overall initial assessment is that</w:t>
      </w:r>
      <w:bookmarkEnd w:id="18"/>
      <w:bookmarkEnd w:id="19"/>
      <w:r w:rsidRPr="007D18D3">
        <w:t xml:space="preserve"> the benefits of the Amendments are likely to outweigh the costs associated with them.</w:t>
      </w:r>
      <w:bookmarkEnd w:id="30"/>
    </w:p>
    <w:p w:rsidR="00D448F9" w:rsidRDefault="00D448F9">
      <w:pPr>
        <w:tabs>
          <w:tab w:val="clear" w:pos="567"/>
          <w:tab w:val="clear" w:pos="1134"/>
          <w:tab w:val="clear" w:pos="1701"/>
          <w:tab w:val="clear" w:pos="2268"/>
          <w:tab w:val="clear" w:pos="2835"/>
        </w:tabs>
        <w:spacing w:before="0" w:after="0"/>
        <w:rPr>
          <w:rFonts w:cs="Arial"/>
          <w:szCs w:val="22"/>
          <w:lang w:eastAsia="en-US"/>
        </w:rPr>
      </w:pPr>
      <w:r>
        <w:br w:type="page"/>
      </w:r>
    </w:p>
    <w:p w:rsidR="00D448F9" w:rsidRDefault="00D448F9" w:rsidP="00D448F9">
      <w:pPr>
        <w:pStyle w:val="Heading2"/>
      </w:pPr>
      <w:r>
        <w:lastRenderedPageBreak/>
        <w:t>Appendix 4</w:t>
      </w:r>
    </w:p>
    <w:p w:rsidR="00D448F9" w:rsidRDefault="00D448F9" w:rsidP="00D448F9">
      <w:pPr>
        <w:pStyle w:val="Heading2"/>
      </w:pPr>
      <w:r>
        <w:t>Dissenting opinions</w:t>
      </w:r>
    </w:p>
    <w:p w:rsidR="00D41B14" w:rsidRDefault="00D448F9" w:rsidP="00D41B14">
      <w:pPr>
        <w:pStyle w:val="Normalnumberedlevel1"/>
        <w:numPr>
          <w:ilvl w:val="0"/>
          <w:numId w:val="32"/>
        </w:numPr>
      </w:pPr>
      <w:r>
        <w:t>One EFRAG TEG member dissent</w:t>
      </w:r>
      <w:r w:rsidR="00C44173">
        <w:t>s</w:t>
      </w:r>
      <w:r>
        <w:t xml:space="preserve"> from recommending the endorsement of the Amendments.</w:t>
      </w:r>
    </w:p>
    <w:p w:rsidR="00D448F9" w:rsidRDefault="00D41B14" w:rsidP="00D41B14">
      <w:pPr>
        <w:pStyle w:val="Normalnumberedlevel1"/>
        <w:numPr>
          <w:ilvl w:val="0"/>
          <w:numId w:val="32"/>
        </w:numPr>
      </w:pPr>
      <w:r>
        <w:t xml:space="preserve">Due to the </w:t>
      </w:r>
      <w:r w:rsidR="008C71AA">
        <w:t>recent</w:t>
      </w:r>
      <w:r w:rsidRPr="00C90BC9">
        <w:t xml:space="preserve"> reform</w:t>
      </w:r>
      <w:r w:rsidR="008C71AA">
        <w:t>,</w:t>
      </w:r>
      <w:r>
        <w:t xml:space="preserve"> EFRAG Board</w:t>
      </w:r>
      <w:r w:rsidRPr="00D41B14">
        <w:t xml:space="preserve"> will be responsible for all EFRAG positions after considering the technical advice provided by the EFRAG Technical Expert Group and the outcome of</w:t>
      </w:r>
      <w:r>
        <w:t xml:space="preserve"> EFRAG’s due process.</w:t>
      </w:r>
      <w:r w:rsidR="00392987">
        <w:t xml:space="preserve"> Therefore,</w:t>
      </w:r>
      <w:r>
        <w:t xml:space="preserve"> </w:t>
      </w:r>
      <w:r w:rsidR="00004C19" w:rsidRPr="00C90BC9">
        <w:t xml:space="preserve">any views </w:t>
      </w:r>
      <w:r w:rsidR="00C83E6B" w:rsidRPr="00C90BC9">
        <w:t xml:space="preserve">dissenting </w:t>
      </w:r>
      <w:r w:rsidR="00004C19" w:rsidRPr="00C90BC9">
        <w:t xml:space="preserve">from the </w:t>
      </w:r>
      <w:r w:rsidR="00004C19">
        <w:t>final endorsement advice will</w:t>
      </w:r>
      <w:r w:rsidR="00004C19" w:rsidRPr="00C90BC9">
        <w:t xml:space="preserve"> be the views of EFRAG Board members</w:t>
      </w:r>
      <w:r w:rsidR="00004C19">
        <w:t xml:space="preserve">. Nonetheless, the </w:t>
      </w:r>
      <w:r>
        <w:t xml:space="preserve">EFRAG TEG </w:t>
      </w:r>
      <w:r w:rsidR="003522DE">
        <w:t xml:space="preserve">member’s </w:t>
      </w:r>
      <w:r w:rsidR="00004C19">
        <w:t>dissenting view</w:t>
      </w:r>
      <w:r w:rsidRPr="00D41B14">
        <w:t xml:space="preserve"> from th</w:t>
      </w:r>
      <w:r>
        <w:t>e draft endorsement advice</w:t>
      </w:r>
      <w:r w:rsidR="00004C19">
        <w:t xml:space="preserve"> (as presented below)</w:t>
      </w:r>
      <w:r w:rsidR="00F06672">
        <w:t>, if maintained after public consultation has taken place,</w:t>
      </w:r>
      <w:r>
        <w:t xml:space="preserve"> will be considered</w:t>
      </w:r>
      <w:r w:rsidR="00392987">
        <w:t xml:space="preserve"> by the</w:t>
      </w:r>
      <w:r w:rsidR="003522DE">
        <w:t xml:space="preserve"> EFRAG Board as part of the technical advice provided by the EFRAG </w:t>
      </w:r>
      <w:r w:rsidR="003522DE" w:rsidRPr="00D41B14">
        <w:t>Technical Expert Group</w:t>
      </w:r>
      <w:r w:rsidR="003522DE">
        <w:t>.</w:t>
      </w:r>
    </w:p>
    <w:p w:rsidR="00D448F9" w:rsidRDefault="00D448F9" w:rsidP="00D448F9">
      <w:pPr>
        <w:pStyle w:val="Heading2"/>
      </w:pPr>
      <w:r>
        <w:t>THE MOTIVATION FOR THE AMENDMENT</w:t>
      </w:r>
    </w:p>
    <w:p w:rsidR="00D448F9" w:rsidRDefault="00D448F9" w:rsidP="00D448F9">
      <w:pPr>
        <w:pStyle w:val="Normalnumberedlevel1"/>
      </w:pPr>
      <w:r>
        <w:t>One EFRAG TEG member believes that the motivation for the amendment can have undesirable unintended consequences.</w:t>
      </w:r>
    </w:p>
    <w:p w:rsidR="00D448F9" w:rsidRDefault="00D448F9" w:rsidP="00D448F9">
      <w:pPr>
        <w:pStyle w:val="Normalnumberedlevel1"/>
      </w:pPr>
      <w:r>
        <w:t xml:space="preserve">This EFRAG TEG member notes that in paragraph </w:t>
      </w:r>
      <w:r w:rsidR="00004C19">
        <w:t>BC</w:t>
      </w:r>
      <w:r>
        <w:t xml:space="preserve">10B of the Amendments to the Basis for Conclusions on IAS 27 </w:t>
      </w:r>
      <w:r>
        <w:rPr>
          <w:i/>
        </w:rPr>
        <w:t>Separate Financial Statements</w:t>
      </w:r>
      <w:r>
        <w:t xml:space="preserve"> the IASB explains that the only reason for the Amendment is to facilitate convergence between local GAAP and IFRS in those jurisdictions where local GAAP is required for separate financial statements and such local GAAP requires the use of the equity method to account for investments in subsidiaries, joint ventures and associates. </w:t>
      </w:r>
    </w:p>
    <w:p w:rsidR="00D448F9" w:rsidRDefault="00D448F9" w:rsidP="00D448F9">
      <w:pPr>
        <w:pStyle w:val="Normalnumberedlevel1"/>
      </w:pPr>
      <w:r>
        <w:t>This EFRAG TEG member believes that the motivation behind the amendments is wrong and emphasises that the same rationale could be applied to many other issues, as most countries have local GAAP for separate financial statements. It is understandable that preparers, and even local enforcers, will prefer to have the same valuation method in both separate and consolidated financial statements (implicitly assuming that Equity Method is not a consolidation method as we are considering separate financial statements). However, there might be additional cases where they would prefer to further align the accounting policies of separate and consolidated financial statements and/or to further integrate local GAAP into IFRS.</w:t>
      </w:r>
    </w:p>
    <w:p w:rsidR="00D448F9" w:rsidRDefault="00D448F9" w:rsidP="00D448F9">
      <w:pPr>
        <w:pStyle w:val="Normalnumberedlevel1"/>
      </w:pPr>
      <w:r>
        <w:t>Aligning Local GAAP and IFRS and/or aligning the accounting policies of separate and consolidated financial statements can reduce costs of preparing and supervising financial reports. However, in this EFRAG TEG</w:t>
      </w:r>
      <w:r w:rsidR="00A3152D">
        <w:t xml:space="preserve"> member’s</w:t>
      </w:r>
      <w:r>
        <w:t xml:space="preserve"> view, this reasoning can have unintended consequences on the development of new standards or future amendments if the IASB wants to be consistent.</w:t>
      </w:r>
    </w:p>
    <w:p w:rsidR="00D448F9" w:rsidRDefault="00D448F9" w:rsidP="00D448F9">
      <w:pPr>
        <w:pStyle w:val="Heading2"/>
      </w:pPr>
      <w:r>
        <w:t>IMPACT ON RELEVANCE</w:t>
      </w:r>
    </w:p>
    <w:p w:rsidR="00D448F9" w:rsidRDefault="00D448F9" w:rsidP="00D448F9">
      <w:pPr>
        <w:pStyle w:val="Normalnumberedlevel1"/>
      </w:pPr>
      <w:r>
        <w:t xml:space="preserve">This </w:t>
      </w:r>
      <w:r w:rsidR="00A3152D">
        <w:t xml:space="preserve">EFRAG </w:t>
      </w:r>
      <w:r>
        <w:t>TEG member also believes that there is a loss of relevance in the primary financial statements as a consequence of the Amendments.</w:t>
      </w:r>
    </w:p>
    <w:p w:rsidR="00D448F9" w:rsidRDefault="00D448F9" w:rsidP="00D448F9">
      <w:pPr>
        <w:pStyle w:val="Normalnumberedlevel1"/>
      </w:pPr>
      <w:r>
        <w:t xml:space="preserve">As mentioned in paragraph 4 of appendix 2 of the draft endorsement advice, in order to evaluate the impact on relevance, EFRAG considered whether the Amendments would result in the provision of relevant information or whether it results in the omission of relevant information. </w:t>
      </w:r>
    </w:p>
    <w:p w:rsidR="00D448F9" w:rsidRDefault="00D448F9" w:rsidP="00D448F9">
      <w:pPr>
        <w:pStyle w:val="Normalnumberedlevel1"/>
      </w:pPr>
      <w:r>
        <w:t xml:space="preserve">In fact, this EFRAG TEG member does not deny that the use of equity method in separate financial statements will provide relevant information to users. However, </w:t>
      </w:r>
      <w:r>
        <w:lastRenderedPageBreak/>
        <w:t>this EFRAG TEG member also believes that this information is redundant, as such information is already provided in consolidated financial statements. This EFRAG TEG member also notes that when the IASB decided to remove the option to use the equity method in separate financial statements in 2003, it provided this very same argument.</w:t>
      </w:r>
    </w:p>
    <w:p w:rsidR="00D448F9" w:rsidRDefault="00D448F9" w:rsidP="00D448F9">
      <w:pPr>
        <w:pStyle w:val="Normalnumberedlevel1"/>
      </w:pPr>
      <w:r>
        <w:t xml:space="preserve">In addition, allowing the use of the Equity Method in separate financial statements may omit very relevant information from the primary financial statements. If preparers opt to use the equity method in separate financial statements, information provided under the “cost method” or the “fair value method” would be lost. In the view of this EFRAG TEG member, disclosures will never be considered a complete substitute </w:t>
      </w:r>
      <w:r w:rsidR="00A3152D">
        <w:t>for</w:t>
      </w:r>
      <w:r>
        <w:t xml:space="preserve"> recognition and measurement, as it is argued many times.</w:t>
      </w:r>
    </w:p>
    <w:p w:rsidR="00D448F9" w:rsidRDefault="00D448F9" w:rsidP="00D448F9">
      <w:pPr>
        <w:pStyle w:val="Heading2"/>
      </w:pPr>
      <w:r>
        <w:t>IMPACT ON COMPARABILITY</w:t>
      </w:r>
    </w:p>
    <w:p w:rsidR="00D448F9" w:rsidRDefault="00D448F9" w:rsidP="00D448F9">
      <w:pPr>
        <w:pStyle w:val="Normalnumberedlevel1"/>
      </w:pPr>
      <w:r>
        <w:t>Finally, this EFRAG TEG Member thinks there is a clear loss of comparability as a consequence of the Amendments.</w:t>
      </w:r>
    </w:p>
    <w:p w:rsidR="00D448F9" w:rsidRDefault="00D448F9" w:rsidP="00D448F9">
      <w:pPr>
        <w:pStyle w:val="Normalnumberedlevel1"/>
      </w:pPr>
      <w:r>
        <w:t>As stated in paragraph 15 of the appendix 2 of the draft endorsement advice, “the notion of comparability requires that like items and events are accounted for in a consistent way through time and by different entities, and that unlike items and events should be accounted for differently”.</w:t>
      </w:r>
    </w:p>
    <w:p w:rsidR="00D448F9" w:rsidRDefault="00D448F9" w:rsidP="00D448F9">
      <w:pPr>
        <w:pStyle w:val="Normalnumberedlevel1"/>
      </w:pPr>
      <w:r>
        <w:t>This EFRAG TEG member is in general not in favour of permitting options in the accounting treatments for the same given transaction or event, (unless there is a strong reason supporting the option) as it reduces the comparability of financial information among entities. In fact, this EFRAG TEG member highlights that this amendment is against one of the IASB’s objectives referred in paragraph 12 of the Preface to IFRS, where it states that the IASB intends not to permit choices in accounting treatment.</w:t>
      </w:r>
    </w:p>
    <w:p w:rsidR="00D448F9" w:rsidRDefault="00D448F9" w:rsidP="00D448F9">
      <w:pPr>
        <w:pStyle w:val="Normalnumberedlevel1"/>
      </w:pPr>
      <w:r>
        <w:t xml:space="preserve">The Amendments will only increase consistency in the accounting policies applied in separate and related consolidated financial statements. This EFRAG TEG member thinks that this is not the definition of comparability, and this increase in consistency between separate and consolidated financial statements may not be necessary and not even desirable. </w:t>
      </w:r>
    </w:p>
    <w:p w:rsidR="00D448F9" w:rsidRPr="004D055E" w:rsidRDefault="00D448F9" w:rsidP="00D448F9">
      <w:pPr>
        <w:pStyle w:val="Normalnumberedlevel1"/>
      </w:pPr>
      <w:r>
        <w:t>Finally, this EFRAG TEG member notes that in the recently published Discussion Paper on Separate Financial Statements it is argued that different uses and users of separate financial statements could justify the uses of different accounting policies.</w:t>
      </w:r>
    </w:p>
    <w:sectPr w:rsidR="00D448F9" w:rsidRPr="004D055E" w:rsidSect="00AC2906">
      <w:headerReference w:type="default" r:id="rId10"/>
      <w:footerReference w:type="default" r:id="rId11"/>
      <w:headerReference w:type="first" r:id="rId12"/>
      <w:pgSz w:w="11907" w:h="16840" w:code="9"/>
      <w:pgMar w:top="1361" w:right="1588" w:bottom="113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EA" w:rsidRDefault="001D14EA" w:rsidP="00946ECD">
      <w:pPr>
        <w:spacing w:before="0"/>
      </w:pPr>
      <w:r>
        <w:separator/>
      </w:r>
    </w:p>
  </w:endnote>
  <w:endnote w:type="continuationSeparator" w:id="0">
    <w:p w:rsidR="001D14EA" w:rsidRDefault="001D14EA" w:rsidP="00946ECD">
      <w:pPr>
        <w:spacing w:before="0"/>
      </w:pPr>
      <w:r>
        <w:continuationSeparator/>
      </w:r>
    </w:p>
  </w:endnote>
  <w:endnote w:type="continuationNotice" w:id="1">
    <w:p w:rsidR="001D14EA" w:rsidRDefault="001D14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D44" w:rsidRPr="00E857FF" w:rsidRDefault="002E0D44" w:rsidP="00E857F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EA" w:rsidRDefault="001D14EA" w:rsidP="00946ECD">
      <w:pPr>
        <w:spacing w:before="0"/>
      </w:pPr>
      <w:r>
        <w:separator/>
      </w:r>
    </w:p>
  </w:footnote>
  <w:footnote w:type="continuationSeparator" w:id="0">
    <w:p w:rsidR="001D14EA" w:rsidRDefault="001D14EA" w:rsidP="00946ECD">
      <w:pPr>
        <w:spacing w:before="0"/>
      </w:pPr>
      <w:r>
        <w:continuationSeparator/>
      </w:r>
    </w:p>
  </w:footnote>
  <w:footnote w:type="continuationNotice" w:id="1">
    <w:p w:rsidR="001D14EA" w:rsidRDefault="001D14E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BA" w:rsidRPr="00650C3C" w:rsidRDefault="00F803BA" w:rsidP="00AC2906">
    <w:pPr>
      <w:pStyle w:val="Header-Appendix"/>
    </w:pPr>
    <w:r>
      <w:t xml:space="preserve">Equity Method in Separate Financial Statements </w:t>
    </w:r>
    <w:r w:rsidRPr="00650C3C">
      <w:t>–</w:t>
    </w:r>
    <w:r>
      <w:t xml:space="preserve"> </w:t>
    </w:r>
    <w:r w:rsidRPr="003845D1">
      <w:t xml:space="preserve">Invitation to Comment on EFRAG’s </w:t>
    </w:r>
    <w:r>
      <w:t xml:space="preserve">Initial </w:t>
    </w:r>
    <w:r w:rsidRPr="003845D1">
      <w:t>Assessments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17"/>
      <w:gridCol w:w="4418"/>
    </w:tblGrid>
    <w:tr w:rsidR="00F803BA" w:rsidRPr="00B64EDC" w:rsidTr="00D41B14">
      <w:tc>
        <w:tcPr>
          <w:tcW w:w="4417" w:type="dxa"/>
          <w:hideMark/>
        </w:tcPr>
        <w:p w:rsidR="00F803BA" w:rsidRPr="00B64EDC" w:rsidRDefault="00F803BA" w:rsidP="00B64EDC">
          <w:pPr>
            <w:jc w:val="right"/>
            <w:rPr>
              <w:b/>
            </w:rPr>
          </w:pPr>
          <w:r w:rsidRPr="00B64EDC">
            <w:rPr>
              <w:b/>
              <w:noProof/>
            </w:rPr>
            <w:drawing>
              <wp:inline distT="0" distB="0" distL="0" distR="0">
                <wp:extent cx="2600325" cy="504825"/>
                <wp:effectExtent l="0" t="0" r="9525" b="9525"/>
                <wp:docPr id="4" name="Picture 4" descr="Efrag Logo Txt Blue - 20 12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ag Logo Txt Blue - 20 12 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04825"/>
                        </a:xfrm>
                        <a:prstGeom prst="rect">
                          <a:avLst/>
                        </a:prstGeom>
                        <a:noFill/>
                        <a:ln>
                          <a:noFill/>
                        </a:ln>
                      </pic:spPr>
                    </pic:pic>
                  </a:graphicData>
                </a:graphic>
              </wp:inline>
            </w:drawing>
          </w:r>
        </w:p>
      </w:tc>
      <w:tc>
        <w:tcPr>
          <w:tcW w:w="4418" w:type="dxa"/>
        </w:tcPr>
        <w:p w:rsidR="00F803BA" w:rsidRPr="00B64EDC" w:rsidRDefault="00D41B14" w:rsidP="00F64F75">
          <w:pPr>
            <w:pStyle w:val="Header"/>
          </w:pPr>
          <w:r>
            <w:tab/>
          </w:r>
          <w:r>
            <w:tab/>
          </w:r>
          <w:r>
            <w:tab/>
          </w:r>
          <w:r>
            <w:tab/>
          </w:r>
          <w:r>
            <w:tab/>
          </w:r>
          <w:r>
            <w:tab/>
          </w:r>
        </w:p>
      </w:tc>
    </w:tr>
  </w:tbl>
  <w:p w:rsidR="00F803BA" w:rsidRPr="00F5582A" w:rsidRDefault="00F803BA" w:rsidP="00B64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2B7E"/>
    <w:multiLevelType w:val="hybridMultilevel"/>
    <w:tmpl w:val="57C0BE5C"/>
    <w:lvl w:ilvl="0" w:tplc="7DB4D3AC">
      <w:start w:val="1"/>
      <w:numFmt w:val="decimal"/>
      <w:pStyle w:val="TextLevel1"/>
      <w:lvlText w:val="%1"/>
      <w:lvlJc w:val="left"/>
      <w:pPr>
        <w:tabs>
          <w:tab w:val="num" w:pos="567"/>
        </w:tabs>
        <w:ind w:left="567" w:hanging="567"/>
      </w:pPr>
      <w:rPr>
        <w:rFonts w:ascii="Arial" w:hAnsi="Arial" w:cs="Arial" w:hint="default"/>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B6C62BE"/>
    <w:multiLevelType w:val="hybridMultilevel"/>
    <w:tmpl w:val="E5BAB5B0"/>
    <w:lvl w:ilvl="0" w:tplc="9B84B0F4">
      <w:start w:val="1"/>
      <w:numFmt w:val="decimal"/>
      <w:lvlText w:val="%1"/>
      <w:lvlJc w:val="left"/>
      <w:pPr>
        <w:tabs>
          <w:tab w:val="num" w:pos="567"/>
        </w:tabs>
        <w:ind w:left="567" w:hanging="567"/>
      </w:pPr>
      <w:rPr>
        <w:rFonts w:ascii="Arial" w:hAnsi="Arial" w:cs="Arial" w:hint="default"/>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2"/>
        <w:szCs w:val="22"/>
      </w:rPr>
    </w:lvl>
    <w:lvl w:ilvl="4" w:tplc="B57AA69E">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5BC7826"/>
    <w:multiLevelType w:val="hybridMultilevel"/>
    <w:tmpl w:val="4FC803F6"/>
    <w:lvl w:ilvl="0" w:tplc="BEAA36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8409A"/>
    <w:multiLevelType w:val="hybridMultilevel"/>
    <w:tmpl w:val="D9F04A72"/>
    <w:lvl w:ilvl="0" w:tplc="FFFFFFFF">
      <w:start w:val="1"/>
      <w:numFmt w:val="decimal"/>
      <w:lvlText w:val="%1"/>
      <w:lvlJc w:val="left"/>
      <w:pPr>
        <w:tabs>
          <w:tab w:val="num" w:pos="567"/>
        </w:tabs>
        <w:ind w:left="567" w:hanging="567"/>
      </w:pPr>
      <w:rPr>
        <w:rFonts w:ascii="Arial" w:hAnsi="Arial" w:hint="default"/>
        <w:b w:val="0"/>
        <w:i w:val="0"/>
        <w:sz w:val="22"/>
      </w:rPr>
    </w:lvl>
    <w:lvl w:ilvl="1" w:tplc="FFFFFFFF">
      <w:start w:val="1"/>
      <w:numFmt w:val="lowerLetter"/>
      <w:lvlText w:val="(%2)"/>
      <w:lvlJc w:val="left"/>
      <w:pPr>
        <w:tabs>
          <w:tab w:val="num" w:pos="1134"/>
        </w:tabs>
        <w:ind w:left="1134" w:hanging="567"/>
      </w:pPr>
      <w:rPr>
        <w:rFonts w:hint="default"/>
        <w:b w:val="0"/>
        <w:i w:val="0"/>
        <w:sz w:val="22"/>
      </w:rPr>
    </w:lvl>
    <w:lvl w:ilvl="2" w:tplc="FFFFFFFF">
      <w:start w:val="1"/>
      <w:numFmt w:val="lowerLetter"/>
      <w:lvlText w:val="(%3)"/>
      <w:lvlJc w:val="left"/>
      <w:pPr>
        <w:tabs>
          <w:tab w:val="num" w:pos="1134"/>
        </w:tabs>
        <w:ind w:left="1134" w:hanging="567"/>
      </w:pPr>
      <w:rPr>
        <w:rFonts w:hint="default"/>
        <w:b w:val="0"/>
        <w:i w:val="0"/>
        <w:sz w:val="22"/>
      </w:rPr>
    </w:lvl>
    <w:lvl w:ilvl="3" w:tplc="FFFFFFFF">
      <w:start w:val="1"/>
      <w:numFmt w:val="lowerRoman"/>
      <w:lvlText w:val="(%4)"/>
      <w:lvlJc w:val="left"/>
      <w:pPr>
        <w:tabs>
          <w:tab w:val="num" w:pos="1701"/>
        </w:tabs>
        <w:ind w:left="1701" w:hanging="567"/>
      </w:pPr>
      <w:rPr>
        <w:rFonts w:hint="default"/>
        <w:b w:val="0"/>
        <w:i w:val="0"/>
        <w:sz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A62DAC"/>
    <w:multiLevelType w:val="hybridMultilevel"/>
    <w:tmpl w:val="7BF6F07A"/>
    <w:lvl w:ilvl="0" w:tplc="89CA7C68">
      <w:start w:val="1"/>
      <w:numFmt w:val="decimal"/>
      <w:lvlText w:val="%1"/>
      <w:lvlJc w:val="left"/>
      <w:pPr>
        <w:tabs>
          <w:tab w:val="num" w:pos="567"/>
        </w:tabs>
        <w:ind w:left="567" w:hanging="567"/>
      </w:pPr>
      <w:rPr>
        <w:rFonts w:hint="default"/>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E676948"/>
    <w:multiLevelType w:val="multilevel"/>
    <w:tmpl w:val="7C8C64B0"/>
    <w:styleLink w:val="EFRAGNumbering"/>
    <w:lvl w:ilvl="0">
      <w:start w:val="1"/>
      <w:numFmt w:val="decimal"/>
      <w:pStyle w:val="Normalnumberedlevel1"/>
      <w:lvlText w:val="%1"/>
      <w:lvlJc w:val="left"/>
      <w:pPr>
        <w:ind w:left="567" w:hanging="567"/>
      </w:pPr>
      <w:rPr>
        <w:rFonts w:ascii="Arial" w:hAnsi="Arial" w:hint="default"/>
        <w:sz w:val="22"/>
      </w:rPr>
    </w:lvl>
    <w:lvl w:ilvl="1">
      <w:start w:val="1"/>
      <w:numFmt w:val="lowerLetter"/>
      <w:pStyle w:val="Normalnumberedlevel2"/>
      <w:lvlText w:val="(%2)"/>
      <w:lvlJc w:val="left"/>
      <w:pPr>
        <w:ind w:left="1134" w:hanging="567"/>
      </w:pPr>
      <w:rPr>
        <w:rFonts w:ascii="Arial" w:hAnsi="Arial" w:hint="default"/>
        <w:b w:val="0"/>
        <w:i w:val="0"/>
        <w:sz w:val="22"/>
      </w:rPr>
    </w:lvl>
    <w:lvl w:ilvl="2">
      <w:start w:val="1"/>
      <w:numFmt w:val="lowerRoman"/>
      <w:pStyle w:val="Normalnumberedlevel3"/>
      <w:lvlText w:val="(%3)"/>
      <w:lvlJc w:val="left"/>
      <w:pPr>
        <w:ind w:left="1701" w:hanging="567"/>
      </w:pPr>
      <w:rPr>
        <w:rFonts w:ascii="Arial" w:hAnsi="Arial" w:hint="default"/>
        <w:b w:val="0"/>
        <w:i w:val="0"/>
        <w:sz w:val="22"/>
      </w:rPr>
    </w:lvl>
    <w:lvl w:ilvl="3">
      <w:start w:val="1"/>
      <w:numFmt w:val="bullet"/>
      <w:lvlText w:val=""/>
      <w:lvlJc w:val="left"/>
      <w:pPr>
        <w:tabs>
          <w:tab w:val="num" w:pos="2835"/>
        </w:tabs>
        <w:ind w:left="2268" w:hanging="567"/>
      </w:pPr>
      <w:rPr>
        <w:rFonts w:ascii="Symbol" w:hAnsi="Symbol" w:hint="default"/>
        <w:b w:val="0"/>
        <w:i w:val="0"/>
        <w:sz w:val="22"/>
      </w:rPr>
    </w:lvl>
    <w:lvl w:ilvl="4">
      <w:start w:val="1"/>
      <w:numFmt w:val="lowerLetter"/>
      <w:lvlText w:val="(%5)"/>
      <w:lvlJc w:val="left"/>
      <w:pPr>
        <w:ind w:left="2835" w:hanging="567"/>
      </w:pPr>
      <w:rPr>
        <w:rFonts w:ascii="Arial" w:hAnsi="Arial" w:hint="default"/>
        <w:b/>
        <w:i w:val="0"/>
        <w:sz w:val="22"/>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304A4CBD"/>
    <w:multiLevelType w:val="multilevel"/>
    <w:tmpl w:val="0150A262"/>
    <w:styleLink w:val="QuestionBoxNumbering"/>
    <w:lvl w:ilvl="0">
      <w:start w:val="1"/>
      <w:numFmt w:val="none"/>
      <w:pStyle w:val="Questionboxlevel1"/>
      <w:suff w:val="nothing"/>
      <w:lvlText w:val=""/>
      <w:lvlJc w:val="left"/>
      <w:pPr>
        <w:ind w:left="0" w:firstLine="0"/>
      </w:pPr>
      <w:rPr>
        <w:rFonts w:ascii="Arial" w:hAnsi="Arial" w:hint="default"/>
        <w:b/>
        <w:i w:val="0"/>
        <w:sz w:val="22"/>
      </w:rPr>
    </w:lvl>
    <w:lvl w:ilvl="1">
      <w:start w:val="1"/>
      <w:numFmt w:val="lowerLetter"/>
      <w:pStyle w:val="Questionboxlevel2"/>
      <w:lvlText w:val="(%2)"/>
      <w:lvlJc w:val="left"/>
      <w:pPr>
        <w:ind w:left="567" w:hanging="567"/>
      </w:pPr>
      <w:rPr>
        <w:rFonts w:hint="default"/>
      </w:rPr>
    </w:lvl>
    <w:lvl w:ilvl="2">
      <w:start w:val="1"/>
      <w:numFmt w:val="lowerRoman"/>
      <w:pStyle w:val="Questionboxlevel3"/>
      <w:lvlText w:val="(%3)"/>
      <w:lvlJc w:val="left"/>
      <w:pPr>
        <w:ind w:left="1134"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7">
    <w:nsid w:val="3881594A"/>
    <w:multiLevelType w:val="hybridMultilevel"/>
    <w:tmpl w:val="11AC7200"/>
    <w:lvl w:ilvl="0" w:tplc="89CA7C68">
      <w:start w:val="1"/>
      <w:numFmt w:val="decimal"/>
      <w:lvlText w:val="%1"/>
      <w:lvlJc w:val="left"/>
      <w:pPr>
        <w:tabs>
          <w:tab w:val="num" w:pos="567"/>
        </w:tabs>
        <w:ind w:left="567" w:hanging="567"/>
      </w:pPr>
      <w:rPr>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4C8E3926"/>
    <w:multiLevelType w:val="hybridMultilevel"/>
    <w:tmpl w:val="402C3D1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1BB4A84"/>
    <w:multiLevelType w:val="multilevel"/>
    <w:tmpl w:val="16065782"/>
    <w:styleLink w:val="Style1"/>
    <w:lvl w:ilvl="0">
      <w:start w:val="1"/>
      <w:numFmt w:val="decimal"/>
      <w:lvlText w:val="%1"/>
      <w:lvlJc w:val="left"/>
      <w:pPr>
        <w:ind w:left="561" w:hanging="561"/>
      </w:pPr>
      <w:rPr>
        <w:rFonts w:ascii="Arial" w:hAnsi="Arial" w:hint="default"/>
        <w:sz w:val="22"/>
      </w:rPr>
    </w:lvl>
    <w:lvl w:ilvl="1">
      <w:start w:val="1"/>
      <w:numFmt w:val="lowerLetter"/>
      <w:lvlText w:val="(%2)"/>
      <w:lvlJc w:val="left"/>
      <w:pPr>
        <w:ind w:left="1128" w:hanging="561"/>
      </w:pPr>
      <w:rPr>
        <w:rFonts w:ascii="Arial" w:hAnsi="Arial" w:hint="default"/>
        <w:b w:val="0"/>
        <w:i w:val="0"/>
        <w:sz w:val="22"/>
      </w:rPr>
    </w:lvl>
    <w:lvl w:ilvl="2">
      <w:start w:val="1"/>
      <w:numFmt w:val="lowerRoman"/>
      <w:lvlText w:val="(%3)"/>
      <w:lvlJc w:val="left"/>
      <w:pPr>
        <w:tabs>
          <w:tab w:val="num" w:pos="1224"/>
        </w:tabs>
        <w:ind w:left="1695" w:hanging="561"/>
      </w:pPr>
      <w:rPr>
        <w:rFonts w:ascii="Arial" w:hAnsi="Arial" w:hint="default"/>
        <w:b w:val="0"/>
        <w:i w:val="0"/>
        <w:sz w:val="22"/>
      </w:rPr>
    </w:lvl>
    <w:lvl w:ilvl="3">
      <w:start w:val="1"/>
      <w:numFmt w:val="bullet"/>
      <w:lvlText w:val=""/>
      <w:lvlJc w:val="left"/>
      <w:pPr>
        <w:tabs>
          <w:tab w:val="num" w:pos="1701"/>
        </w:tabs>
        <w:ind w:left="2262" w:hanging="561"/>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B2F55A5"/>
    <w:multiLevelType w:val="multilevel"/>
    <w:tmpl w:val="43C8C058"/>
    <w:lvl w:ilvl="0">
      <w:start w:val="1"/>
      <w:numFmt w:val="bullet"/>
      <w:pStyle w:val="Bulletedlis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Wingdings" w:hAnsi="Wingdings" w:hint="default"/>
      </w:rPr>
    </w:lvl>
  </w:abstractNum>
  <w:abstractNum w:abstractNumId="11">
    <w:nsid w:val="635A5278"/>
    <w:multiLevelType w:val="hybridMultilevel"/>
    <w:tmpl w:val="3AF2AC4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6B50C45"/>
    <w:multiLevelType w:val="hybridMultilevel"/>
    <w:tmpl w:val="A2007E9C"/>
    <w:lvl w:ilvl="0" w:tplc="0116F208">
      <w:start w:val="1"/>
      <w:numFmt w:val="decimal"/>
      <w:pStyle w:val="Normalnumbered"/>
      <w:lvlText w:val="%1"/>
      <w:lvlJc w:val="left"/>
      <w:pPr>
        <w:ind w:left="360" w:hanging="360"/>
      </w:pPr>
      <w:rPr>
        <w:rFonts w:hint="default"/>
        <w:b w:val="0"/>
        <w:i w:val="0"/>
      </w:rPr>
    </w:lvl>
    <w:lvl w:ilvl="1" w:tplc="5C7C9532">
      <w:start w:val="1"/>
      <w:numFmt w:val="lowerLetter"/>
      <w:lvlText w:val="(%2)"/>
      <w:lvlJc w:val="left"/>
      <w:pPr>
        <w:tabs>
          <w:tab w:val="num" w:pos="1080"/>
        </w:tabs>
        <w:ind w:left="1080" w:hanging="360"/>
      </w:pPr>
      <w:rPr>
        <w:rFonts w:hint="default"/>
        <w:b w:val="0"/>
        <w:i w:val="0"/>
        <w:sz w:val="22"/>
        <w:szCs w:val="22"/>
      </w:rPr>
    </w:lvl>
    <w:lvl w:ilvl="2" w:tplc="627EECE6">
      <w:start w:val="1"/>
      <w:numFmt w:val="lowerRoman"/>
      <w:lvlText w:val="(%3)"/>
      <w:lvlJc w:val="left"/>
      <w:pPr>
        <w:tabs>
          <w:tab w:val="num" w:pos="1980"/>
        </w:tabs>
        <w:ind w:left="1980" w:hanging="360"/>
      </w:pPr>
      <w:rPr>
        <w:rFonts w:hint="default"/>
        <w:sz w:val="22"/>
        <w:szCs w:val="22"/>
      </w:rPr>
    </w:lvl>
    <w:lvl w:ilvl="3" w:tplc="BB4A976A">
      <w:start w:val="1"/>
      <w:numFmt w:val="low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6A0512D1"/>
    <w:multiLevelType w:val="hybridMultilevel"/>
    <w:tmpl w:val="E8B85890"/>
    <w:lvl w:ilvl="0" w:tplc="9B84B0F4">
      <w:start w:val="1"/>
      <w:numFmt w:val="decimal"/>
      <w:lvlText w:val="%1"/>
      <w:lvlJc w:val="left"/>
      <w:pPr>
        <w:tabs>
          <w:tab w:val="num" w:pos="567"/>
        </w:tabs>
        <w:ind w:left="567" w:hanging="567"/>
      </w:pPr>
      <w:rPr>
        <w:rFonts w:ascii="Arial" w:hAnsi="Arial" w:cs="Arial" w:hint="default"/>
        <w:b w:val="0"/>
        <w:i w:val="0"/>
        <w:sz w:val="22"/>
        <w:szCs w:val="22"/>
      </w:rPr>
    </w:lvl>
    <w:lvl w:ilvl="1" w:tplc="E1D2D8E2">
      <w:start w:val="1"/>
      <w:numFmt w:val="lowerLetter"/>
      <w:lvlText w:val="(%2)"/>
      <w:lvlJc w:val="left"/>
      <w:pPr>
        <w:tabs>
          <w:tab w:val="num" w:pos="1647"/>
        </w:tabs>
        <w:ind w:left="1647" w:hanging="567"/>
      </w:pPr>
      <w:rPr>
        <w:rFonts w:ascii="Arial" w:hAnsi="Arial" w:cs="Arial" w:hint="default"/>
        <w:i w:val="0"/>
        <w:sz w:val="22"/>
        <w:szCs w:val="22"/>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07930B5"/>
    <w:multiLevelType w:val="hybridMultilevel"/>
    <w:tmpl w:val="9ABEDF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3E27C0"/>
    <w:multiLevelType w:val="hybridMultilevel"/>
    <w:tmpl w:val="CF86EF42"/>
    <w:lvl w:ilvl="0" w:tplc="FFFFFFFF">
      <w:start w:val="1"/>
      <w:numFmt w:val="decimal"/>
      <w:lvlText w:val="%1."/>
      <w:lvlJc w:val="left"/>
      <w:pPr>
        <w:tabs>
          <w:tab w:val="num" w:pos="760"/>
        </w:tabs>
        <w:ind w:left="760" w:hanging="360"/>
      </w:pPr>
      <w:rPr>
        <w:rFonts w:ascii="Arial" w:hAnsi="Arial" w:cs="Arial" w:hint="default"/>
      </w:rPr>
    </w:lvl>
    <w:lvl w:ilvl="1" w:tplc="FFFFFFFF">
      <w:start w:val="1"/>
      <w:numFmt w:val="lowerLetter"/>
      <w:pStyle w:val="Para"/>
      <w:lvlText w:val="(%2)"/>
      <w:lvlJc w:val="left"/>
      <w:pPr>
        <w:tabs>
          <w:tab w:val="num" w:pos="1160"/>
        </w:tabs>
        <w:ind w:left="1160" w:hanging="360"/>
      </w:pPr>
      <w:rPr>
        <w:rFonts w:cs="Times New Roman" w:hint="eastAsia"/>
      </w:rPr>
    </w:lvl>
    <w:lvl w:ilvl="2" w:tplc="FFFFFFFF">
      <w:start w:val="1"/>
      <w:numFmt w:val="lowerRoman"/>
      <w:lvlText w:val="%3."/>
      <w:lvlJc w:val="right"/>
      <w:pPr>
        <w:tabs>
          <w:tab w:val="num" w:pos="1600"/>
        </w:tabs>
        <w:ind w:left="1600" w:hanging="400"/>
      </w:pPr>
      <w:rPr>
        <w:rFonts w:cs="Times New Roman"/>
      </w:rPr>
    </w:lvl>
    <w:lvl w:ilvl="3" w:tplc="FFFFFFFF">
      <w:start w:val="1"/>
      <w:numFmt w:val="lowerLetter"/>
      <w:lvlText w:val="(%4)"/>
      <w:lvlJc w:val="left"/>
      <w:pPr>
        <w:tabs>
          <w:tab w:val="num" w:pos="800"/>
        </w:tabs>
        <w:ind w:left="800" w:hanging="400"/>
      </w:pPr>
      <w:rPr>
        <w:rFonts w:cs="Times New Roman" w:hint="default"/>
      </w:rPr>
    </w:lvl>
    <w:lvl w:ilvl="4" w:tplc="FFFFFFFF" w:tentative="1">
      <w:start w:val="1"/>
      <w:numFmt w:val="upperLetter"/>
      <w:lvlText w:val="%5."/>
      <w:lvlJc w:val="left"/>
      <w:pPr>
        <w:tabs>
          <w:tab w:val="num" w:pos="2400"/>
        </w:tabs>
        <w:ind w:left="2400" w:hanging="400"/>
      </w:pPr>
      <w:rPr>
        <w:rFonts w:cs="Times New Roman"/>
      </w:rPr>
    </w:lvl>
    <w:lvl w:ilvl="5" w:tplc="FFFFFFFF" w:tentative="1">
      <w:start w:val="1"/>
      <w:numFmt w:val="lowerRoman"/>
      <w:lvlText w:val="%6."/>
      <w:lvlJc w:val="right"/>
      <w:pPr>
        <w:tabs>
          <w:tab w:val="num" w:pos="2800"/>
        </w:tabs>
        <w:ind w:left="2800" w:hanging="400"/>
      </w:pPr>
      <w:rPr>
        <w:rFonts w:cs="Times New Roman"/>
      </w:rPr>
    </w:lvl>
    <w:lvl w:ilvl="6" w:tplc="FFFFFFFF" w:tentative="1">
      <w:start w:val="1"/>
      <w:numFmt w:val="decimal"/>
      <w:lvlText w:val="%7."/>
      <w:lvlJc w:val="left"/>
      <w:pPr>
        <w:tabs>
          <w:tab w:val="num" w:pos="3200"/>
        </w:tabs>
        <w:ind w:left="3200" w:hanging="400"/>
      </w:pPr>
      <w:rPr>
        <w:rFonts w:cs="Times New Roman"/>
      </w:rPr>
    </w:lvl>
    <w:lvl w:ilvl="7" w:tplc="FFFFFFFF" w:tentative="1">
      <w:start w:val="1"/>
      <w:numFmt w:val="upperLetter"/>
      <w:lvlText w:val="%8."/>
      <w:lvlJc w:val="left"/>
      <w:pPr>
        <w:tabs>
          <w:tab w:val="num" w:pos="3600"/>
        </w:tabs>
        <w:ind w:left="3600" w:hanging="400"/>
      </w:pPr>
      <w:rPr>
        <w:rFonts w:cs="Times New Roman"/>
      </w:rPr>
    </w:lvl>
    <w:lvl w:ilvl="8" w:tplc="FFFFFFFF" w:tentative="1">
      <w:start w:val="1"/>
      <w:numFmt w:val="lowerRoman"/>
      <w:lvlText w:val="%9."/>
      <w:lvlJc w:val="right"/>
      <w:pPr>
        <w:tabs>
          <w:tab w:val="num" w:pos="4000"/>
        </w:tabs>
        <w:ind w:left="4000" w:hanging="400"/>
      </w:pPr>
      <w:rPr>
        <w:rFonts w:cs="Times New Roman"/>
      </w:rPr>
    </w:lvl>
  </w:abstractNum>
  <w:abstractNum w:abstractNumId="16">
    <w:nsid w:val="772D4E23"/>
    <w:multiLevelType w:val="hybridMultilevel"/>
    <w:tmpl w:val="06D6BBB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
    <w:abstractNumId w:val="15"/>
  </w:num>
  <w:num w:numId="4">
    <w:abstractNumId w:val="6"/>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abstractNumId w:val="6"/>
  </w:num>
  <w:num w:numId="10">
    <w:abstractNumId w:val="12"/>
  </w:num>
  <w:num w:numId="11">
    <w:abstractNumId w:val="5"/>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
    <w:abstractNumId w:val="5"/>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
    <w:abstractNumId w:val="14"/>
  </w:num>
  <w:num w:numId="14">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5">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6">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7">
    <w:abstractNumId w:val="12"/>
  </w:num>
  <w:num w:numId="18">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1"/>
  </w:num>
  <w:num w:numId="24">
    <w:abstractNumId w:val="8"/>
  </w:num>
  <w:num w:numId="25">
    <w:abstractNumId w:val="16"/>
  </w:num>
  <w:num w:numId="26">
    <w:abstractNumId w:val="2"/>
  </w:num>
  <w:num w:numId="27">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8">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9">
    <w:abstractNumId w:val="5"/>
    <w:lvlOverride w:ilvl="0">
      <w:lvl w:ilvl="0">
        <w:start w:val="1"/>
        <w:numFmt w:val="decimal"/>
        <w:pStyle w:val="Normalnumberedlevel1"/>
        <w:lvlText w:val="%1"/>
        <w:lvlJc w:val="left"/>
        <w:pPr>
          <w:ind w:left="567" w:hanging="567"/>
        </w:pPr>
        <w:rPr>
          <w:rFonts w:ascii="Arial" w:hAnsi="Arial" w:hint="default"/>
          <w:b w:val="0"/>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 w:ilvl="0">
        <w:start w:val="1"/>
        <w:numFmt w:val="decimal"/>
        <w:pStyle w:val="Normalnumberedlevel1"/>
        <w:lvlText w:val="%1"/>
        <w:lvlJc w:val="left"/>
        <w:pPr>
          <w:ind w:left="567" w:hanging="567"/>
        </w:pPr>
        <w:rPr>
          <w:rFonts w:ascii="Arial" w:hAnsi="Arial" w:hint="default"/>
          <w:sz w:val="22"/>
        </w:rPr>
      </w:lvl>
    </w:lvlOverride>
    <w:lvlOverride w:ilvl="1">
      <w:startOverride w:val="1"/>
      <w:lvl w:ilvl="1">
        <w:start w:val="1"/>
        <w:numFmt w:val="lowerLetter"/>
        <w:pStyle w:val="Normalnumberedlevel2"/>
        <w:lvlText w:val="(%2)"/>
        <w:lvlJc w:val="left"/>
        <w:pPr>
          <w:ind w:left="1134" w:hanging="567"/>
        </w:pPr>
        <w:rPr>
          <w:rFonts w:ascii="Arial" w:hAnsi="Arial" w:hint="default"/>
          <w:b w:val="0"/>
          <w:i w:val="0"/>
          <w:sz w:val="22"/>
        </w:rPr>
      </w:lvl>
    </w:lvlOverride>
    <w:lvlOverride w:ilvl="2">
      <w:startOverride w:val="1"/>
      <w:lvl w:ilvl="2">
        <w:start w:val="1"/>
        <w:numFmt w:val="lowerRoman"/>
        <w:pStyle w:val="Normalnumberedlevel3"/>
        <w:lvlText w:val="(%3)"/>
        <w:lvlJc w:val="left"/>
        <w:pPr>
          <w:ind w:left="1701" w:hanging="567"/>
        </w:pPr>
        <w:rPr>
          <w:rFonts w:ascii="Arial" w:hAnsi="Arial" w:hint="default"/>
          <w:b w:val="0"/>
          <w:i w:val="0"/>
          <w:sz w:val="22"/>
        </w:rPr>
      </w:lvl>
    </w:lvlOverride>
    <w:lvlOverride w:ilvl="3">
      <w:startOverride w:val="1"/>
      <w:lvl w:ilvl="3">
        <w:start w:val="1"/>
        <w:numFmt w:val="bullet"/>
        <w:lvlText w:val=""/>
        <w:lvlJc w:val="left"/>
        <w:pPr>
          <w:tabs>
            <w:tab w:val="num" w:pos="2835"/>
          </w:tabs>
          <w:ind w:left="2268" w:hanging="567"/>
        </w:pPr>
        <w:rPr>
          <w:rFonts w:ascii="Symbol" w:hAnsi="Symbol" w:hint="default"/>
          <w:b w:val="0"/>
          <w:i w:val="0"/>
          <w:sz w:val="22"/>
        </w:rPr>
      </w:lvl>
    </w:lvlOverride>
    <w:lvlOverride w:ilvl="4">
      <w:startOverride w:val="1"/>
      <w:lvl w:ilvl="4">
        <w:start w:val="1"/>
        <w:numFmt w:val="lowerLetter"/>
        <w:lvlText w:val="(%5)"/>
        <w:lvlJc w:val="left"/>
        <w:pPr>
          <w:ind w:left="2835" w:hanging="567"/>
        </w:pPr>
        <w:rPr>
          <w:rFonts w:ascii="Arial" w:hAnsi="Arial" w:hint="default"/>
          <w:b/>
          <w:i w:val="0"/>
          <w:sz w:val="22"/>
        </w:rPr>
      </w:lvl>
    </w:lvlOverride>
    <w:lvlOverride w:ilvl="5">
      <w:startOverride w:val="1"/>
      <w:lvl w:ilvl="5">
        <w:start w:val="1"/>
        <w:numFmt w:val="lowerRoman"/>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4">
    <w:abstractNumId w:val="5"/>
    <w:lvlOverride w:ilvl="0">
      <w:lvl w:ilvl="0">
        <w:start w:val="1"/>
        <w:numFmt w:val="decimal"/>
        <w:pStyle w:val="Normalnumberedlevel1"/>
        <w:lvlText w:val="%1"/>
        <w:lvlJc w:val="left"/>
        <w:pPr>
          <w:ind w:left="567" w:hanging="567"/>
        </w:pPr>
        <w:rPr>
          <w:rFonts w:ascii="Arial" w:hAnsi="Arial" w:hint="default"/>
          <w:sz w:val="22"/>
        </w:rPr>
      </w:lvl>
    </w:lvlOverride>
    <w:lvlOverride w:ilvl="1">
      <w:lvl w:ilvl="1">
        <w:start w:val="1"/>
        <w:numFmt w:val="lowerLetter"/>
        <w:pStyle w:val="Normalnumberedlevel2"/>
        <w:lvlText w:val="(%2)"/>
        <w:lvlJc w:val="left"/>
        <w:pPr>
          <w:ind w:left="1134" w:hanging="567"/>
        </w:pPr>
        <w:rPr>
          <w:rFonts w:ascii="Arial" w:hAnsi="Arial" w:hint="default"/>
          <w:b w:val="0"/>
          <w:i w:val="0"/>
          <w:sz w:val="22"/>
        </w:rPr>
      </w:lvl>
    </w:lvlOverride>
    <w:lvlOverride w:ilvl="2">
      <w:lvl w:ilvl="2">
        <w:start w:val="1"/>
        <w:numFmt w:val="lowerRoman"/>
        <w:pStyle w:val="Normalnumberedlevel3"/>
        <w:lvlText w:val="(%3)"/>
        <w:lvlJc w:val="left"/>
        <w:pPr>
          <w:ind w:left="1701" w:hanging="567"/>
        </w:pPr>
        <w:rPr>
          <w:rFonts w:ascii="Arial" w:hAnsi="Arial" w:hint="default"/>
          <w:b w:val="0"/>
          <w:i w:val="0"/>
          <w:sz w:val="22"/>
        </w:rPr>
      </w:lvl>
    </w:lvlOverride>
    <w:lvlOverride w:ilvl="3">
      <w:lvl w:ilvl="3">
        <w:start w:val="1"/>
        <w:numFmt w:val="bullet"/>
        <w:lvlText w:val=""/>
        <w:lvlJc w:val="left"/>
        <w:pPr>
          <w:tabs>
            <w:tab w:val="num" w:pos="2835"/>
          </w:tabs>
          <w:ind w:left="2268" w:hanging="567"/>
        </w:pPr>
        <w:rPr>
          <w:rFonts w:ascii="Symbol" w:hAnsi="Symbol" w:hint="default"/>
          <w:b w:val="0"/>
          <w:i w:val="0"/>
          <w:sz w:val="22"/>
        </w:rPr>
      </w:lvl>
    </w:lvlOverride>
    <w:lvlOverride w:ilvl="4">
      <w:lvl w:ilvl="4">
        <w:start w:val="1"/>
        <w:numFmt w:val="lowerLetter"/>
        <w:lvlText w:val="(%5)"/>
        <w:lvlJc w:val="left"/>
        <w:pPr>
          <w:ind w:left="2835" w:hanging="567"/>
        </w:pPr>
        <w:rPr>
          <w:rFonts w:ascii="Arial" w:hAnsi="Arial" w:hint="default"/>
          <w:b/>
          <w:i w:val="0"/>
          <w:sz w:val="22"/>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0"/>
  <w:defaultTabStop w:val="567"/>
  <w:hyphenationZone w:val="425"/>
  <w:drawingGridHorizontalSpacing w:val="11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2"/>
  </w:compat>
  <w:rsids>
    <w:rsidRoot w:val="00930AB5"/>
    <w:rsid w:val="0000113D"/>
    <w:rsid w:val="00004C19"/>
    <w:rsid w:val="00006B19"/>
    <w:rsid w:val="0000778B"/>
    <w:rsid w:val="00007A05"/>
    <w:rsid w:val="00010E5A"/>
    <w:rsid w:val="00013E31"/>
    <w:rsid w:val="00014CEC"/>
    <w:rsid w:val="00014ED2"/>
    <w:rsid w:val="000216EA"/>
    <w:rsid w:val="0002187D"/>
    <w:rsid w:val="00022A1C"/>
    <w:rsid w:val="00023268"/>
    <w:rsid w:val="000234F4"/>
    <w:rsid w:val="00023D6E"/>
    <w:rsid w:val="00024D6B"/>
    <w:rsid w:val="00025D96"/>
    <w:rsid w:val="00026303"/>
    <w:rsid w:val="0002728F"/>
    <w:rsid w:val="00030800"/>
    <w:rsid w:val="00033575"/>
    <w:rsid w:val="00036986"/>
    <w:rsid w:val="00036D7A"/>
    <w:rsid w:val="00036E34"/>
    <w:rsid w:val="000401C1"/>
    <w:rsid w:val="00041815"/>
    <w:rsid w:val="00042CBB"/>
    <w:rsid w:val="00043254"/>
    <w:rsid w:val="00043F02"/>
    <w:rsid w:val="00044820"/>
    <w:rsid w:val="00050A0B"/>
    <w:rsid w:val="00050D74"/>
    <w:rsid w:val="00051A09"/>
    <w:rsid w:val="0005291E"/>
    <w:rsid w:val="00054219"/>
    <w:rsid w:val="00054B7A"/>
    <w:rsid w:val="00055AB6"/>
    <w:rsid w:val="00056332"/>
    <w:rsid w:val="00056A71"/>
    <w:rsid w:val="00060895"/>
    <w:rsid w:val="00060E0B"/>
    <w:rsid w:val="00062233"/>
    <w:rsid w:val="00062DC0"/>
    <w:rsid w:val="00062FEA"/>
    <w:rsid w:val="00063335"/>
    <w:rsid w:val="00063F36"/>
    <w:rsid w:val="00064EBE"/>
    <w:rsid w:val="000659C6"/>
    <w:rsid w:val="00067CE5"/>
    <w:rsid w:val="00067E0F"/>
    <w:rsid w:val="00070152"/>
    <w:rsid w:val="0007068F"/>
    <w:rsid w:val="00070A00"/>
    <w:rsid w:val="000720C7"/>
    <w:rsid w:val="000732BC"/>
    <w:rsid w:val="00074293"/>
    <w:rsid w:val="00074AF2"/>
    <w:rsid w:val="00077ECB"/>
    <w:rsid w:val="00080C5F"/>
    <w:rsid w:val="00080EB6"/>
    <w:rsid w:val="00081111"/>
    <w:rsid w:val="000833B3"/>
    <w:rsid w:val="00083564"/>
    <w:rsid w:val="000836BD"/>
    <w:rsid w:val="00083C05"/>
    <w:rsid w:val="00084A24"/>
    <w:rsid w:val="00085DEA"/>
    <w:rsid w:val="0008748A"/>
    <w:rsid w:val="00087E3F"/>
    <w:rsid w:val="0009144B"/>
    <w:rsid w:val="00092C07"/>
    <w:rsid w:val="00094486"/>
    <w:rsid w:val="00095113"/>
    <w:rsid w:val="00095C84"/>
    <w:rsid w:val="000964AD"/>
    <w:rsid w:val="00097A22"/>
    <w:rsid w:val="000A0ED6"/>
    <w:rsid w:val="000A549C"/>
    <w:rsid w:val="000A70C0"/>
    <w:rsid w:val="000A7EDB"/>
    <w:rsid w:val="000B0D1E"/>
    <w:rsid w:val="000B1139"/>
    <w:rsid w:val="000B1D7A"/>
    <w:rsid w:val="000B4735"/>
    <w:rsid w:val="000B6283"/>
    <w:rsid w:val="000B6A13"/>
    <w:rsid w:val="000B7977"/>
    <w:rsid w:val="000C07D6"/>
    <w:rsid w:val="000C09E0"/>
    <w:rsid w:val="000C2165"/>
    <w:rsid w:val="000C21B2"/>
    <w:rsid w:val="000C2B35"/>
    <w:rsid w:val="000C2B4D"/>
    <w:rsid w:val="000C471D"/>
    <w:rsid w:val="000C710E"/>
    <w:rsid w:val="000C79D7"/>
    <w:rsid w:val="000D0B82"/>
    <w:rsid w:val="000D0E71"/>
    <w:rsid w:val="000D2647"/>
    <w:rsid w:val="000D2C2C"/>
    <w:rsid w:val="000D2CD2"/>
    <w:rsid w:val="000D3A68"/>
    <w:rsid w:val="000D4B7C"/>
    <w:rsid w:val="000D4C71"/>
    <w:rsid w:val="000D7151"/>
    <w:rsid w:val="000E1C63"/>
    <w:rsid w:val="000E1EEA"/>
    <w:rsid w:val="000E205B"/>
    <w:rsid w:val="000E2550"/>
    <w:rsid w:val="000E260A"/>
    <w:rsid w:val="000E2780"/>
    <w:rsid w:val="000E4766"/>
    <w:rsid w:val="000E4DD8"/>
    <w:rsid w:val="000E4E21"/>
    <w:rsid w:val="000E52F9"/>
    <w:rsid w:val="000E748E"/>
    <w:rsid w:val="000F00F5"/>
    <w:rsid w:val="000F155B"/>
    <w:rsid w:val="000F181E"/>
    <w:rsid w:val="000F1946"/>
    <w:rsid w:val="000F1E18"/>
    <w:rsid w:val="000F2228"/>
    <w:rsid w:val="000F6E61"/>
    <w:rsid w:val="000F71C9"/>
    <w:rsid w:val="000F7D7E"/>
    <w:rsid w:val="00100D33"/>
    <w:rsid w:val="00101464"/>
    <w:rsid w:val="00102BA4"/>
    <w:rsid w:val="00102D2E"/>
    <w:rsid w:val="001047F9"/>
    <w:rsid w:val="00105279"/>
    <w:rsid w:val="00105AE2"/>
    <w:rsid w:val="001066B2"/>
    <w:rsid w:val="001066E5"/>
    <w:rsid w:val="00106E21"/>
    <w:rsid w:val="0011011B"/>
    <w:rsid w:val="00110196"/>
    <w:rsid w:val="00110FBA"/>
    <w:rsid w:val="00111100"/>
    <w:rsid w:val="00113091"/>
    <w:rsid w:val="001143D9"/>
    <w:rsid w:val="00115A1A"/>
    <w:rsid w:val="0011740E"/>
    <w:rsid w:val="001175D6"/>
    <w:rsid w:val="001176F7"/>
    <w:rsid w:val="001204E4"/>
    <w:rsid w:val="001239D9"/>
    <w:rsid w:val="001254AC"/>
    <w:rsid w:val="00125F28"/>
    <w:rsid w:val="00126DF1"/>
    <w:rsid w:val="00127216"/>
    <w:rsid w:val="0013194E"/>
    <w:rsid w:val="00131FA0"/>
    <w:rsid w:val="001325CF"/>
    <w:rsid w:val="00132BC9"/>
    <w:rsid w:val="00133245"/>
    <w:rsid w:val="001336CA"/>
    <w:rsid w:val="00134CFA"/>
    <w:rsid w:val="0013501B"/>
    <w:rsid w:val="0013509F"/>
    <w:rsid w:val="00135905"/>
    <w:rsid w:val="00136726"/>
    <w:rsid w:val="00136FF2"/>
    <w:rsid w:val="00137A6C"/>
    <w:rsid w:val="001415D5"/>
    <w:rsid w:val="00141624"/>
    <w:rsid w:val="00141F1B"/>
    <w:rsid w:val="001436F5"/>
    <w:rsid w:val="00145C70"/>
    <w:rsid w:val="001474F1"/>
    <w:rsid w:val="0015112B"/>
    <w:rsid w:val="001522F3"/>
    <w:rsid w:val="00152889"/>
    <w:rsid w:val="00152B4F"/>
    <w:rsid w:val="00157667"/>
    <w:rsid w:val="0016164D"/>
    <w:rsid w:val="00161D5E"/>
    <w:rsid w:val="00162597"/>
    <w:rsid w:val="0016374B"/>
    <w:rsid w:val="00164DAC"/>
    <w:rsid w:val="001653A9"/>
    <w:rsid w:val="001660C1"/>
    <w:rsid w:val="00166197"/>
    <w:rsid w:val="001665A0"/>
    <w:rsid w:val="00167F45"/>
    <w:rsid w:val="001748E8"/>
    <w:rsid w:val="00175774"/>
    <w:rsid w:val="00175A99"/>
    <w:rsid w:val="00177829"/>
    <w:rsid w:val="00184198"/>
    <w:rsid w:val="0018760B"/>
    <w:rsid w:val="0019069D"/>
    <w:rsid w:val="001937DB"/>
    <w:rsid w:val="00194E67"/>
    <w:rsid w:val="00194EE6"/>
    <w:rsid w:val="001968A0"/>
    <w:rsid w:val="001974E7"/>
    <w:rsid w:val="001977C0"/>
    <w:rsid w:val="00197C8D"/>
    <w:rsid w:val="001A01D8"/>
    <w:rsid w:val="001A22AD"/>
    <w:rsid w:val="001A2BFF"/>
    <w:rsid w:val="001A320A"/>
    <w:rsid w:val="001A4F54"/>
    <w:rsid w:val="001A5098"/>
    <w:rsid w:val="001A5FAA"/>
    <w:rsid w:val="001B0152"/>
    <w:rsid w:val="001B18BA"/>
    <w:rsid w:val="001B1CF4"/>
    <w:rsid w:val="001B4D44"/>
    <w:rsid w:val="001B4DA6"/>
    <w:rsid w:val="001B682F"/>
    <w:rsid w:val="001B6B3D"/>
    <w:rsid w:val="001B75BB"/>
    <w:rsid w:val="001B7A17"/>
    <w:rsid w:val="001B7E38"/>
    <w:rsid w:val="001C0760"/>
    <w:rsid w:val="001C2683"/>
    <w:rsid w:val="001C4A77"/>
    <w:rsid w:val="001C6AEA"/>
    <w:rsid w:val="001C7C89"/>
    <w:rsid w:val="001D102F"/>
    <w:rsid w:val="001D14EA"/>
    <w:rsid w:val="001D31E7"/>
    <w:rsid w:val="001D6E57"/>
    <w:rsid w:val="001D7DDF"/>
    <w:rsid w:val="001E0306"/>
    <w:rsid w:val="001E0AAB"/>
    <w:rsid w:val="001E1F7B"/>
    <w:rsid w:val="001E2255"/>
    <w:rsid w:val="001E666B"/>
    <w:rsid w:val="001E6BF1"/>
    <w:rsid w:val="001F12F3"/>
    <w:rsid w:val="001F164D"/>
    <w:rsid w:val="001F215A"/>
    <w:rsid w:val="001F459E"/>
    <w:rsid w:val="001F52C7"/>
    <w:rsid w:val="001F71D9"/>
    <w:rsid w:val="001F76B5"/>
    <w:rsid w:val="001F7FBF"/>
    <w:rsid w:val="00202450"/>
    <w:rsid w:val="00202C04"/>
    <w:rsid w:val="002038AC"/>
    <w:rsid w:val="00204101"/>
    <w:rsid w:val="0020412E"/>
    <w:rsid w:val="002072C4"/>
    <w:rsid w:val="00207445"/>
    <w:rsid w:val="002113A4"/>
    <w:rsid w:val="00220D00"/>
    <w:rsid w:val="002212B2"/>
    <w:rsid w:val="00222823"/>
    <w:rsid w:val="00222B8A"/>
    <w:rsid w:val="002235C2"/>
    <w:rsid w:val="00223673"/>
    <w:rsid w:val="00224AAD"/>
    <w:rsid w:val="0022569C"/>
    <w:rsid w:val="00227C71"/>
    <w:rsid w:val="00227C83"/>
    <w:rsid w:val="00230470"/>
    <w:rsid w:val="002325C8"/>
    <w:rsid w:val="00232684"/>
    <w:rsid w:val="00233BE2"/>
    <w:rsid w:val="00233D95"/>
    <w:rsid w:val="002350B3"/>
    <w:rsid w:val="002377DA"/>
    <w:rsid w:val="00240915"/>
    <w:rsid w:val="002429BE"/>
    <w:rsid w:val="00242BC2"/>
    <w:rsid w:val="00243A32"/>
    <w:rsid w:val="00243CDA"/>
    <w:rsid w:val="0024411B"/>
    <w:rsid w:val="00244871"/>
    <w:rsid w:val="00250534"/>
    <w:rsid w:val="00251333"/>
    <w:rsid w:val="00251392"/>
    <w:rsid w:val="002535A1"/>
    <w:rsid w:val="002601A0"/>
    <w:rsid w:val="00260A43"/>
    <w:rsid w:val="00260A47"/>
    <w:rsid w:val="002616A9"/>
    <w:rsid w:val="0026311A"/>
    <w:rsid w:val="00267810"/>
    <w:rsid w:val="00267B38"/>
    <w:rsid w:val="00270C7D"/>
    <w:rsid w:val="002710A9"/>
    <w:rsid w:val="002719DD"/>
    <w:rsid w:val="00271BF2"/>
    <w:rsid w:val="002722BC"/>
    <w:rsid w:val="00274412"/>
    <w:rsid w:val="0027741D"/>
    <w:rsid w:val="00277D4F"/>
    <w:rsid w:val="0028070A"/>
    <w:rsid w:val="00280A35"/>
    <w:rsid w:val="00280CC1"/>
    <w:rsid w:val="002819C6"/>
    <w:rsid w:val="0028223B"/>
    <w:rsid w:val="00284921"/>
    <w:rsid w:val="002852DB"/>
    <w:rsid w:val="00285AE7"/>
    <w:rsid w:val="00287BFC"/>
    <w:rsid w:val="00287CE7"/>
    <w:rsid w:val="00291F85"/>
    <w:rsid w:val="002937AB"/>
    <w:rsid w:val="00294826"/>
    <w:rsid w:val="00294A62"/>
    <w:rsid w:val="00294AE8"/>
    <w:rsid w:val="00295174"/>
    <w:rsid w:val="00297134"/>
    <w:rsid w:val="002A01FC"/>
    <w:rsid w:val="002A20E8"/>
    <w:rsid w:val="002A28B0"/>
    <w:rsid w:val="002A35D3"/>
    <w:rsid w:val="002A430C"/>
    <w:rsid w:val="002A46BA"/>
    <w:rsid w:val="002A6CBC"/>
    <w:rsid w:val="002B1D99"/>
    <w:rsid w:val="002B2CFA"/>
    <w:rsid w:val="002B2EFA"/>
    <w:rsid w:val="002B4BF7"/>
    <w:rsid w:val="002B5E4F"/>
    <w:rsid w:val="002B72C0"/>
    <w:rsid w:val="002C0586"/>
    <w:rsid w:val="002C1069"/>
    <w:rsid w:val="002C372C"/>
    <w:rsid w:val="002C4D98"/>
    <w:rsid w:val="002C4DDE"/>
    <w:rsid w:val="002C6347"/>
    <w:rsid w:val="002C7ACF"/>
    <w:rsid w:val="002C7F65"/>
    <w:rsid w:val="002D1248"/>
    <w:rsid w:val="002D1CB2"/>
    <w:rsid w:val="002D25AA"/>
    <w:rsid w:val="002D2815"/>
    <w:rsid w:val="002D50A4"/>
    <w:rsid w:val="002D6A6E"/>
    <w:rsid w:val="002D6CF7"/>
    <w:rsid w:val="002D7403"/>
    <w:rsid w:val="002E0D44"/>
    <w:rsid w:val="002E21DC"/>
    <w:rsid w:val="002E22AE"/>
    <w:rsid w:val="002E381E"/>
    <w:rsid w:val="002E4E3B"/>
    <w:rsid w:val="002E51D8"/>
    <w:rsid w:val="002E572F"/>
    <w:rsid w:val="002E616A"/>
    <w:rsid w:val="002E7872"/>
    <w:rsid w:val="002F0DE4"/>
    <w:rsid w:val="002F24A1"/>
    <w:rsid w:val="002F48FA"/>
    <w:rsid w:val="002F5A3F"/>
    <w:rsid w:val="002F5C0E"/>
    <w:rsid w:val="002F7750"/>
    <w:rsid w:val="002F7D52"/>
    <w:rsid w:val="00300DB9"/>
    <w:rsid w:val="00301CAB"/>
    <w:rsid w:val="00304A35"/>
    <w:rsid w:val="00305A57"/>
    <w:rsid w:val="00305DE6"/>
    <w:rsid w:val="00306BB7"/>
    <w:rsid w:val="0030766D"/>
    <w:rsid w:val="00310B5F"/>
    <w:rsid w:val="00310D4B"/>
    <w:rsid w:val="003112BB"/>
    <w:rsid w:val="00311316"/>
    <w:rsid w:val="003139D1"/>
    <w:rsid w:val="00314208"/>
    <w:rsid w:val="003148C3"/>
    <w:rsid w:val="003152E3"/>
    <w:rsid w:val="00316699"/>
    <w:rsid w:val="00316A97"/>
    <w:rsid w:val="00317247"/>
    <w:rsid w:val="00320B77"/>
    <w:rsid w:val="00320D1A"/>
    <w:rsid w:val="00322F6D"/>
    <w:rsid w:val="003237BD"/>
    <w:rsid w:val="00326631"/>
    <w:rsid w:val="00326B1E"/>
    <w:rsid w:val="00326CB2"/>
    <w:rsid w:val="00327C46"/>
    <w:rsid w:val="00331635"/>
    <w:rsid w:val="00331905"/>
    <w:rsid w:val="003347D3"/>
    <w:rsid w:val="003369C7"/>
    <w:rsid w:val="00340354"/>
    <w:rsid w:val="003408AF"/>
    <w:rsid w:val="00340BE9"/>
    <w:rsid w:val="00340EBE"/>
    <w:rsid w:val="00341019"/>
    <w:rsid w:val="00342DBE"/>
    <w:rsid w:val="0034325D"/>
    <w:rsid w:val="003442D8"/>
    <w:rsid w:val="0034452C"/>
    <w:rsid w:val="00344DD1"/>
    <w:rsid w:val="003471FA"/>
    <w:rsid w:val="003522DE"/>
    <w:rsid w:val="003528D4"/>
    <w:rsid w:val="003541B4"/>
    <w:rsid w:val="003559BB"/>
    <w:rsid w:val="00355DAB"/>
    <w:rsid w:val="00355F5A"/>
    <w:rsid w:val="00356CB8"/>
    <w:rsid w:val="00356DDD"/>
    <w:rsid w:val="00357C68"/>
    <w:rsid w:val="00360311"/>
    <w:rsid w:val="003603B4"/>
    <w:rsid w:val="003612BA"/>
    <w:rsid w:val="00363C02"/>
    <w:rsid w:val="00367F69"/>
    <w:rsid w:val="003708D8"/>
    <w:rsid w:val="00370D99"/>
    <w:rsid w:val="00371F6C"/>
    <w:rsid w:val="00373F4D"/>
    <w:rsid w:val="003742E2"/>
    <w:rsid w:val="0037451C"/>
    <w:rsid w:val="0037511E"/>
    <w:rsid w:val="00376660"/>
    <w:rsid w:val="00377A35"/>
    <w:rsid w:val="00377B1D"/>
    <w:rsid w:val="00377B2D"/>
    <w:rsid w:val="0038065D"/>
    <w:rsid w:val="003807AB"/>
    <w:rsid w:val="00381E8E"/>
    <w:rsid w:val="003822BC"/>
    <w:rsid w:val="00382916"/>
    <w:rsid w:val="003830E9"/>
    <w:rsid w:val="00383561"/>
    <w:rsid w:val="003836FA"/>
    <w:rsid w:val="003845D1"/>
    <w:rsid w:val="00384694"/>
    <w:rsid w:val="00385197"/>
    <w:rsid w:val="0038528E"/>
    <w:rsid w:val="0038677A"/>
    <w:rsid w:val="0038694A"/>
    <w:rsid w:val="003871EB"/>
    <w:rsid w:val="003874CF"/>
    <w:rsid w:val="003878F9"/>
    <w:rsid w:val="00390693"/>
    <w:rsid w:val="00390E5B"/>
    <w:rsid w:val="003912C9"/>
    <w:rsid w:val="00391428"/>
    <w:rsid w:val="00391460"/>
    <w:rsid w:val="00391B16"/>
    <w:rsid w:val="00392987"/>
    <w:rsid w:val="00393FD2"/>
    <w:rsid w:val="00395BDA"/>
    <w:rsid w:val="00395CAC"/>
    <w:rsid w:val="0039738A"/>
    <w:rsid w:val="00397A2C"/>
    <w:rsid w:val="003A01BE"/>
    <w:rsid w:val="003A0FC1"/>
    <w:rsid w:val="003A1680"/>
    <w:rsid w:val="003A28EC"/>
    <w:rsid w:val="003A3E90"/>
    <w:rsid w:val="003A4415"/>
    <w:rsid w:val="003A5FD3"/>
    <w:rsid w:val="003A611A"/>
    <w:rsid w:val="003A70D9"/>
    <w:rsid w:val="003B026F"/>
    <w:rsid w:val="003B0464"/>
    <w:rsid w:val="003B098A"/>
    <w:rsid w:val="003B0DC2"/>
    <w:rsid w:val="003B1543"/>
    <w:rsid w:val="003B158C"/>
    <w:rsid w:val="003B2867"/>
    <w:rsid w:val="003B4EAE"/>
    <w:rsid w:val="003B5285"/>
    <w:rsid w:val="003B565C"/>
    <w:rsid w:val="003C1C85"/>
    <w:rsid w:val="003C1DA1"/>
    <w:rsid w:val="003C32CC"/>
    <w:rsid w:val="003C52E7"/>
    <w:rsid w:val="003C69D9"/>
    <w:rsid w:val="003D020D"/>
    <w:rsid w:val="003D11C6"/>
    <w:rsid w:val="003D3827"/>
    <w:rsid w:val="003E01C4"/>
    <w:rsid w:val="003E1FB0"/>
    <w:rsid w:val="003E27CB"/>
    <w:rsid w:val="003E2A58"/>
    <w:rsid w:val="003E2D2D"/>
    <w:rsid w:val="003E2D94"/>
    <w:rsid w:val="003E5F15"/>
    <w:rsid w:val="003E7EE0"/>
    <w:rsid w:val="003F0C60"/>
    <w:rsid w:val="003F15A7"/>
    <w:rsid w:val="003F1C03"/>
    <w:rsid w:val="003F2C1A"/>
    <w:rsid w:val="003F3D33"/>
    <w:rsid w:val="003F4441"/>
    <w:rsid w:val="003F4B32"/>
    <w:rsid w:val="003F55CA"/>
    <w:rsid w:val="003F6CC6"/>
    <w:rsid w:val="003F775E"/>
    <w:rsid w:val="003F77E3"/>
    <w:rsid w:val="003F7856"/>
    <w:rsid w:val="003F7A69"/>
    <w:rsid w:val="003F7B95"/>
    <w:rsid w:val="00401093"/>
    <w:rsid w:val="00402EFC"/>
    <w:rsid w:val="00403A22"/>
    <w:rsid w:val="00403AFE"/>
    <w:rsid w:val="00403D65"/>
    <w:rsid w:val="004040E8"/>
    <w:rsid w:val="00404411"/>
    <w:rsid w:val="00404506"/>
    <w:rsid w:val="00406147"/>
    <w:rsid w:val="00410841"/>
    <w:rsid w:val="00411938"/>
    <w:rsid w:val="0041365E"/>
    <w:rsid w:val="0041406A"/>
    <w:rsid w:val="00415BC6"/>
    <w:rsid w:val="004217FD"/>
    <w:rsid w:val="00422723"/>
    <w:rsid w:val="00422E82"/>
    <w:rsid w:val="00423B9E"/>
    <w:rsid w:val="00424381"/>
    <w:rsid w:val="00424A01"/>
    <w:rsid w:val="00424FC3"/>
    <w:rsid w:val="00425ABB"/>
    <w:rsid w:val="00426DF8"/>
    <w:rsid w:val="004270E9"/>
    <w:rsid w:val="0042725E"/>
    <w:rsid w:val="004277B9"/>
    <w:rsid w:val="004300AE"/>
    <w:rsid w:val="00432CBB"/>
    <w:rsid w:val="00432E1B"/>
    <w:rsid w:val="00441344"/>
    <w:rsid w:val="004434BF"/>
    <w:rsid w:val="004440FD"/>
    <w:rsid w:val="004449CB"/>
    <w:rsid w:val="004471F9"/>
    <w:rsid w:val="00447B47"/>
    <w:rsid w:val="00447BA2"/>
    <w:rsid w:val="00450EAF"/>
    <w:rsid w:val="0045270A"/>
    <w:rsid w:val="00453AAC"/>
    <w:rsid w:val="004541E4"/>
    <w:rsid w:val="004556F1"/>
    <w:rsid w:val="00457432"/>
    <w:rsid w:val="004608CE"/>
    <w:rsid w:val="0046131A"/>
    <w:rsid w:val="00461406"/>
    <w:rsid w:val="00462094"/>
    <w:rsid w:val="004634BA"/>
    <w:rsid w:val="00463C67"/>
    <w:rsid w:val="00463F4F"/>
    <w:rsid w:val="004647C6"/>
    <w:rsid w:val="00465550"/>
    <w:rsid w:val="00465953"/>
    <w:rsid w:val="00465EC1"/>
    <w:rsid w:val="00466C6C"/>
    <w:rsid w:val="00470F7B"/>
    <w:rsid w:val="0047111E"/>
    <w:rsid w:val="004715C9"/>
    <w:rsid w:val="0047167C"/>
    <w:rsid w:val="00472CDB"/>
    <w:rsid w:val="00473CE7"/>
    <w:rsid w:val="00474A98"/>
    <w:rsid w:val="004772B5"/>
    <w:rsid w:val="00481301"/>
    <w:rsid w:val="00481356"/>
    <w:rsid w:val="004824EC"/>
    <w:rsid w:val="00482518"/>
    <w:rsid w:val="00483AAA"/>
    <w:rsid w:val="0049017E"/>
    <w:rsid w:val="0049076F"/>
    <w:rsid w:val="00491F6E"/>
    <w:rsid w:val="00493174"/>
    <w:rsid w:val="0049323E"/>
    <w:rsid w:val="00493AC9"/>
    <w:rsid w:val="00493E3E"/>
    <w:rsid w:val="00496A3D"/>
    <w:rsid w:val="004A0CDD"/>
    <w:rsid w:val="004A0DE9"/>
    <w:rsid w:val="004A4D9E"/>
    <w:rsid w:val="004A6457"/>
    <w:rsid w:val="004A7152"/>
    <w:rsid w:val="004A758C"/>
    <w:rsid w:val="004A76F8"/>
    <w:rsid w:val="004B129A"/>
    <w:rsid w:val="004B259F"/>
    <w:rsid w:val="004B2AF6"/>
    <w:rsid w:val="004B3DC8"/>
    <w:rsid w:val="004B6DF2"/>
    <w:rsid w:val="004B709E"/>
    <w:rsid w:val="004C04A9"/>
    <w:rsid w:val="004C19E5"/>
    <w:rsid w:val="004C1D9A"/>
    <w:rsid w:val="004C3123"/>
    <w:rsid w:val="004C3F73"/>
    <w:rsid w:val="004C4103"/>
    <w:rsid w:val="004C41F6"/>
    <w:rsid w:val="004C4F0E"/>
    <w:rsid w:val="004C7558"/>
    <w:rsid w:val="004D055E"/>
    <w:rsid w:val="004D07AF"/>
    <w:rsid w:val="004D1A18"/>
    <w:rsid w:val="004D28BD"/>
    <w:rsid w:val="004D44DC"/>
    <w:rsid w:val="004D71E6"/>
    <w:rsid w:val="004D71F6"/>
    <w:rsid w:val="004D7A05"/>
    <w:rsid w:val="004E05D3"/>
    <w:rsid w:val="004E13C6"/>
    <w:rsid w:val="004E149A"/>
    <w:rsid w:val="004E14DB"/>
    <w:rsid w:val="004E35CB"/>
    <w:rsid w:val="004E3AE4"/>
    <w:rsid w:val="004E3FCD"/>
    <w:rsid w:val="004E4703"/>
    <w:rsid w:val="004E473C"/>
    <w:rsid w:val="004E4D2A"/>
    <w:rsid w:val="004E5432"/>
    <w:rsid w:val="004E5620"/>
    <w:rsid w:val="004E5E04"/>
    <w:rsid w:val="004E5E99"/>
    <w:rsid w:val="004E6432"/>
    <w:rsid w:val="004F1465"/>
    <w:rsid w:val="004F219F"/>
    <w:rsid w:val="004F3ADE"/>
    <w:rsid w:val="004F48C4"/>
    <w:rsid w:val="004F61ED"/>
    <w:rsid w:val="004F6B2B"/>
    <w:rsid w:val="004F6B53"/>
    <w:rsid w:val="004F70B4"/>
    <w:rsid w:val="005001BF"/>
    <w:rsid w:val="00505141"/>
    <w:rsid w:val="00505B7B"/>
    <w:rsid w:val="005061A9"/>
    <w:rsid w:val="005067F6"/>
    <w:rsid w:val="005067FD"/>
    <w:rsid w:val="00507B0E"/>
    <w:rsid w:val="0051048F"/>
    <w:rsid w:val="00510C9E"/>
    <w:rsid w:val="00511306"/>
    <w:rsid w:val="00512A9F"/>
    <w:rsid w:val="00513F41"/>
    <w:rsid w:val="0051515C"/>
    <w:rsid w:val="005216D0"/>
    <w:rsid w:val="005237E6"/>
    <w:rsid w:val="00523DD3"/>
    <w:rsid w:val="00523FFA"/>
    <w:rsid w:val="00524220"/>
    <w:rsid w:val="00525298"/>
    <w:rsid w:val="005257C4"/>
    <w:rsid w:val="00526813"/>
    <w:rsid w:val="00526F71"/>
    <w:rsid w:val="005314DB"/>
    <w:rsid w:val="0053317C"/>
    <w:rsid w:val="00534294"/>
    <w:rsid w:val="005346A6"/>
    <w:rsid w:val="00535549"/>
    <w:rsid w:val="00536C55"/>
    <w:rsid w:val="00536ECF"/>
    <w:rsid w:val="00537EA5"/>
    <w:rsid w:val="005401D2"/>
    <w:rsid w:val="00540832"/>
    <w:rsid w:val="00542539"/>
    <w:rsid w:val="005437AF"/>
    <w:rsid w:val="00543966"/>
    <w:rsid w:val="00544CAF"/>
    <w:rsid w:val="0054630C"/>
    <w:rsid w:val="005466D7"/>
    <w:rsid w:val="0054679F"/>
    <w:rsid w:val="00546A56"/>
    <w:rsid w:val="00546FD2"/>
    <w:rsid w:val="005505B6"/>
    <w:rsid w:val="005519B4"/>
    <w:rsid w:val="00551C2D"/>
    <w:rsid w:val="005525D7"/>
    <w:rsid w:val="00553164"/>
    <w:rsid w:val="00555971"/>
    <w:rsid w:val="00555C3D"/>
    <w:rsid w:val="00560D62"/>
    <w:rsid w:val="00561890"/>
    <w:rsid w:val="00563798"/>
    <w:rsid w:val="00564BA2"/>
    <w:rsid w:val="00565A2F"/>
    <w:rsid w:val="00566498"/>
    <w:rsid w:val="00566F24"/>
    <w:rsid w:val="00567309"/>
    <w:rsid w:val="005676D2"/>
    <w:rsid w:val="00570D76"/>
    <w:rsid w:val="005728BA"/>
    <w:rsid w:val="00572FFC"/>
    <w:rsid w:val="00580150"/>
    <w:rsid w:val="005816C9"/>
    <w:rsid w:val="00581F43"/>
    <w:rsid w:val="00582718"/>
    <w:rsid w:val="00583E63"/>
    <w:rsid w:val="005840C8"/>
    <w:rsid w:val="00584344"/>
    <w:rsid w:val="00587065"/>
    <w:rsid w:val="005873B6"/>
    <w:rsid w:val="00587666"/>
    <w:rsid w:val="0058794F"/>
    <w:rsid w:val="00590019"/>
    <w:rsid w:val="0059152C"/>
    <w:rsid w:val="005929E6"/>
    <w:rsid w:val="00592AB8"/>
    <w:rsid w:val="00594307"/>
    <w:rsid w:val="00594F5B"/>
    <w:rsid w:val="00595444"/>
    <w:rsid w:val="005960DE"/>
    <w:rsid w:val="005A0A3F"/>
    <w:rsid w:val="005A0A45"/>
    <w:rsid w:val="005A20E5"/>
    <w:rsid w:val="005A230E"/>
    <w:rsid w:val="005A2813"/>
    <w:rsid w:val="005A2F6A"/>
    <w:rsid w:val="005A441B"/>
    <w:rsid w:val="005A610F"/>
    <w:rsid w:val="005A76EE"/>
    <w:rsid w:val="005A7BA3"/>
    <w:rsid w:val="005B0D75"/>
    <w:rsid w:val="005B1137"/>
    <w:rsid w:val="005B2B4F"/>
    <w:rsid w:val="005B46A8"/>
    <w:rsid w:val="005B5124"/>
    <w:rsid w:val="005B5277"/>
    <w:rsid w:val="005B6289"/>
    <w:rsid w:val="005B69E6"/>
    <w:rsid w:val="005B71BD"/>
    <w:rsid w:val="005B7FA5"/>
    <w:rsid w:val="005C3D6B"/>
    <w:rsid w:val="005C4D59"/>
    <w:rsid w:val="005C618F"/>
    <w:rsid w:val="005C6470"/>
    <w:rsid w:val="005C6589"/>
    <w:rsid w:val="005C70F2"/>
    <w:rsid w:val="005D168A"/>
    <w:rsid w:val="005D24BD"/>
    <w:rsid w:val="005D3CEC"/>
    <w:rsid w:val="005D47EB"/>
    <w:rsid w:val="005D52E9"/>
    <w:rsid w:val="005D732F"/>
    <w:rsid w:val="005D7CC7"/>
    <w:rsid w:val="005D7FBE"/>
    <w:rsid w:val="005E0101"/>
    <w:rsid w:val="005E0818"/>
    <w:rsid w:val="005E1D44"/>
    <w:rsid w:val="005E20F0"/>
    <w:rsid w:val="005E2EAA"/>
    <w:rsid w:val="005E2F71"/>
    <w:rsid w:val="005E586F"/>
    <w:rsid w:val="005F05FF"/>
    <w:rsid w:val="005F062F"/>
    <w:rsid w:val="005F06D9"/>
    <w:rsid w:val="005F1BB5"/>
    <w:rsid w:val="005F207F"/>
    <w:rsid w:val="005F3642"/>
    <w:rsid w:val="005F3A26"/>
    <w:rsid w:val="005F515C"/>
    <w:rsid w:val="005F5470"/>
    <w:rsid w:val="005F56E4"/>
    <w:rsid w:val="005F5805"/>
    <w:rsid w:val="005F7B36"/>
    <w:rsid w:val="00603A49"/>
    <w:rsid w:val="00603C15"/>
    <w:rsid w:val="00604E1A"/>
    <w:rsid w:val="006059BC"/>
    <w:rsid w:val="00606B57"/>
    <w:rsid w:val="0061060D"/>
    <w:rsid w:val="006109A4"/>
    <w:rsid w:val="006112F7"/>
    <w:rsid w:val="006141EA"/>
    <w:rsid w:val="00617757"/>
    <w:rsid w:val="00617C34"/>
    <w:rsid w:val="00620459"/>
    <w:rsid w:val="00620972"/>
    <w:rsid w:val="00620FF8"/>
    <w:rsid w:val="006215B7"/>
    <w:rsid w:val="006221CC"/>
    <w:rsid w:val="00622B4A"/>
    <w:rsid w:val="006233A6"/>
    <w:rsid w:val="00624C56"/>
    <w:rsid w:val="00626F03"/>
    <w:rsid w:val="00627848"/>
    <w:rsid w:val="00630130"/>
    <w:rsid w:val="006305A1"/>
    <w:rsid w:val="00630991"/>
    <w:rsid w:val="006313E2"/>
    <w:rsid w:val="00632020"/>
    <w:rsid w:val="00632EEC"/>
    <w:rsid w:val="00635E15"/>
    <w:rsid w:val="00636060"/>
    <w:rsid w:val="00636C49"/>
    <w:rsid w:val="00640291"/>
    <w:rsid w:val="00641809"/>
    <w:rsid w:val="00641AC2"/>
    <w:rsid w:val="00642C27"/>
    <w:rsid w:val="00643DB8"/>
    <w:rsid w:val="00644389"/>
    <w:rsid w:val="0064449F"/>
    <w:rsid w:val="006447C2"/>
    <w:rsid w:val="00646070"/>
    <w:rsid w:val="00646A5A"/>
    <w:rsid w:val="0064709C"/>
    <w:rsid w:val="006470EF"/>
    <w:rsid w:val="006477DE"/>
    <w:rsid w:val="00647F59"/>
    <w:rsid w:val="00650A17"/>
    <w:rsid w:val="00650C3C"/>
    <w:rsid w:val="006522CE"/>
    <w:rsid w:val="00653D85"/>
    <w:rsid w:val="006547F2"/>
    <w:rsid w:val="006567C2"/>
    <w:rsid w:val="006578CC"/>
    <w:rsid w:val="00661267"/>
    <w:rsid w:val="00662FBC"/>
    <w:rsid w:val="00663F30"/>
    <w:rsid w:val="006672F1"/>
    <w:rsid w:val="00667483"/>
    <w:rsid w:val="00667691"/>
    <w:rsid w:val="0067107D"/>
    <w:rsid w:val="00671758"/>
    <w:rsid w:val="006728B3"/>
    <w:rsid w:val="00672D16"/>
    <w:rsid w:val="0067303E"/>
    <w:rsid w:val="00673971"/>
    <w:rsid w:val="0067690F"/>
    <w:rsid w:val="006770FB"/>
    <w:rsid w:val="006778D8"/>
    <w:rsid w:val="00680836"/>
    <w:rsid w:val="006809E1"/>
    <w:rsid w:val="00681C9F"/>
    <w:rsid w:val="00681F6E"/>
    <w:rsid w:val="00683408"/>
    <w:rsid w:val="006866B7"/>
    <w:rsid w:val="00686AA1"/>
    <w:rsid w:val="00686ACB"/>
    <w:rsid w:val="00690BFD"/>
    <w:rsid w:val="00690E28"/>
    <w:rsid w:val="006928BB"/>
    <w:rsid w:val="00693F3E"/>
    <w:rsid w:val="00697389"/>
    <w:rsid w:val="006A08C4"/>
    <w:rsid w:val="006A1E21"/>
    <w:rsid w:val="006A22B6"/>
    <w:rsid w:val="006A286B"/>
    <w:rsid w:val="006A2DA9"/>
    <w:rsid w:val="006A5127"/>
    <w:rsid w:val="006A5F32"/>
    <w:rsid w:val="006A6CEA"/>
    <w:rsid w:val="006A6DBE"/>
    <w:rsid w:val="006A7A12"/>
    <w:rsid w:val="006B1640"/>
    <w:rsid w:val="006B4D70"/>
    <w:rsid w:val="006B5A60"/>
    <w:rsid w:val="006B689E"/>
    <w:rsid w:val="006B6B14"/>
    <w:rsid w:val="006B7355"/>
    <w:rsid w:val="006C076D"/>
    <w:rsid w:val="006C11EA"/>
    <w:rsid w:val="006C2AC8"/>
    <w:rsid w:val="006C2D57"/>
    <w:rsid w:val="006C3835"/>
    <w:rsid w:val="006C5D32"/>
    <w:rsid w:val="006C697C"/>
    <w:rsid w:val="006C7734"/>
    <w:rsid w:val="006D25D4"/>
    <w:rsid w:val="006D4265"/>
    <w:rsid w:val="006D4C68"/>
    <w:rsid w:val="006D6F5F"/>
    <w:rsid w:val="006E1BBB"/>
    <w:rsid w:val="006E1D8B"/>
    <w:rsid w:val="006E4460"/>
    <w:rsid w:val="006E4A51"/>
    <w:rsid w:val="006E55BA"/>
    <w:rsid w:val="006E67AD"/>
    <w:rsid w:val="006E6EB3"/>
    <w:rsid w:val="006F1B67"/>
    <w:rsid w:val="006F2789"/>
    <w:rsid w:val="006F34DF"/>
    <w:rsid w:val="006F3DF1"/>
    <w:rsid w:val="006F55A8"/>
    <w:rsid w:val="006F588B"/>
    <w:rsid w:val="007009FA"/>
    <w:rsid w:val="007027FA"/>
    <w:rsid w:val="00702B4A"/>
    <w:rsid w:val="00703D38"/>
    <w:rsid w:val="00703E83"/>
    <w:rsid w:val="00704A33"/>
    <w:rsid w:val="00706043"/>
    <w:rsid w:val="0070697F"/>
    <w:rsid w:val="00707E85"/>
    <w:rsid w:val="00710160"/>
    <w:rsid w:val="00710792"/>
    <w:rsid w:val="0071191F"/>
    <w:rsid w:val="00711A88"/>
    <w:rsid w:val="00711CD3"/>
    <w:rsid w:val="0071209E"/>
    <w:rsid w:val="0071263F"/>
    <w:rsid w:val="00713876"/>
    <w:rsid w:val="007145B9"/>
    <w:rsid w:val="00714E50"/>
    <w:rsid w:val="0071576A"/>
    <w:rsid w:val="00715964"/>
    <w:rsid w:val="00715A3E"/>
    <w:rsid w:val="00717300"/>
    <w:rsid w:val="007201CC"/>
    <w:rsid w:val="00720B0B"/>
    <w:rsid w:val="007220D4"/>
    <w:rsid w:val="00722588"/>
    <w:rsid w:val="00722E90"/>
    <w:rsid w:val="00723D2D"/>
    <w:rsid w:val="00723FF8"/>
    <w:rsid w:val="00730B8E"/>
    <w:rsid w:val="00730DB8"/>
    <w:rsid w:val="0073130B"/>
    <w:rsid w:val="00731E7C"/>
    <w:rsid w:val="00732EDB"/>
    <w:rsid w:val="00733D5C"/>
    <w:rsid w:val="00734281"/>
    <w:rsid w:val="007357AB"/>
    <w:rsid w:val="00735BA7"/>
    <w:rsid w:val="007361EA"/>
    <w:rsid w:val="00740628"/>
    <w:rsid w:val="00742A87"/>
    <w:rsid w:val="0074316C"/>
    <w:rsid w:val="00743439"/>
    <w:rsid w:val="007439E5"/>
    <w:rsid w:val="0074427E"/>
    <w:rsid w:val="00747726"/>
    <w:rsid w:val="00752C63"/>
    <w:rsid w:val="00752EF2"/>
    <w:rsid w:val="00753AB9"/>
    <w:rsid w:val="00754F14"/>
    <w:rsid w:val="00755414"/>
    <w:rsid w:val="00755DA1"/>
    <w:rsid w:val="007572C0"/>
    <w:rsid w:val="00761113"/>
    <w:rsid w:val="00762AD0"/>
    <w:rsid w:val="007631C9"/>
    <w:rsid w:val="0076345E"/>
    <w:rsid w:val="00764E02"/>
    <w:rsid w:val="00764E5E"/>
    <w:rsid w:val="007652D8"/>
    <w:rsid w:val="00767DA6"/>
    <w:rsid w:val="0077028B"/>
    <w:rsid w:val="00772013"/>
    <w:rsid w:val="007727E5"/>
    <w:rsid w:val="00774C42"/>
    <w:rsid w:val="0077701C"/>
    <w:rsid w:val="00777CA3"/>
    <w:rsid w:val="007809DA"/>
    <w:rsid w:val="0078267C"/>
    <w:rsid w:val="007836AF"/>
    <w:rsid w:val="007837A3"/>
    <w:rsid w:val="00783D23"/>
    <w:rsid w:val="007852D8"/>
    <w:rsid w:val="00785D28"/>
    <w:rsid w:val="007866E6"/>
    <w:rsid w:val="007867CF"/>
    <w:rsid w:val="00786B57"/>
    <w:rsid w:val="007908E3"/>
    <w:rsid w:val="0079168C"/>
    <w:rsid w:val="00791C1E"/>
    <w:rsid w:val="00791EE4"/>
    <w:rsid w:val="00792B7E"/>
    <w:rsid w:val="00792CCB"/>
    <w:rsid w:val="00795E6C"/>
    <w:rsid w:val="00795FFF"/>
    <w:rsid w:val="007963E5"/>
    <w:rsid w:val="00796EAF"/>
    <w:rsid w:val="007A19F8"/>
    <w:rsid w:val="007A2428"/>
    <w:rsid w:val="007A2D3D"/>
    <w:rsid w:val="007A3065"/>
    <w:rsid w:val="007A596E"/>
    <w:rsid w:val="007A6815"/>
    <w:rsid w:val="007A7D93"/>
    <w:rsid w:val="007B09CC"/>
    <w:rsid w:val="007B490B"/>
    <w:rsid w:val="007C1608"/>
    <w:rsid w:val="007C266A"/>
    <w:rsid w:val="007D04A6"/>
    <w:rsid w:val="007D0C2B"/>
    <w:rsid w:val="007D18D3"/>
    <w:rsid w:val="007D1E86"/>
    <w:rsid w:val="007D3CCF"/>
    <w:rsid w:val="007D3D10"/>
    <w:rsid w:val="007D5764"/>
    <w:rsid w:val="007D5F88"/>
    <w:rsid w:val="007D6625"/>
    <w:rsid w:val="007E0D82"/>
    <w:rsid w:val="007E199C"/>
    <w:rsid w:val="007E1B2D"/>
    <w:rsid w:val="007E23DE"/>
    <w:rsid w:val="007E5585"/>
    <w:rsid w:val="007E5CBE"/>
    <w:rsid w:val="007F0C9E"/>
    <w:rsid w:val="007F1778"/>
    <w:rsid w:val="007F3616"/>
    <w:rsid w:val="007F5352"/>
    <w:rsid w:val="007F568B"/>
    <w:rsid w:val="007F620C"/>
    <w:rsid w:val="007F6403"/>
    <w:rsid w:val="007F6E52"/>
    <w:rsid w:val="008013AC"/>
    <w:rsid w:val="00801A0E"/>
    <w:rsid w:val="0080209A"/>
    <w:rsid w:val="008030CB"/>
    <w:rsid w:val="008046E9"/>
    <w:rsid w:val="00804CBE"/>
    <w:rsid w:val="008063DF"/>
    <w:rsid w:val="008070C7"/>
    <w:rsid w:val="0080776A"/>
    <w:rsid w:val="00811E67"/>
    <w:rsid w:val="008122B8"/>
    <w:rsid w:val="008125F0"/>
    <w:rsid w:val="0081278B"/>
    <w:rsid w:val="0081559D"/>
    <w:rsid w:val="00820573"/>
    <w:rsid w:val="008205C0"/>
    <w:rsid w:val="00821FEE"/>
    <w:rsid w:val="008226CE"/>
    <w:rsid w:val="00823478"/>
    <w:rsid w:val="00823EB1"/>
    <w:rsid w:val="0082545A"/>
    <w:rsid w:val="00825CD9"/>
    <w:rsid w:val="00827FAE"/>
    <w:rsid w:val="00832BB1"/>
    <w:rsid w:val="0083373A"/>
    <w:rsid w:val="00834496"/>
    <w:rsid w:val="00834501"/>
    <w:rsid w:val="00834A39"/>
    <w:rsid w:val="00834D5B"/>
    <w:rsid w:val="008357CA"/>
    <w:rsid w:val="00836A89"/>
    <w:rsid w:val="008425CC"/>
    <w:rsid w:val="008427BD"/>
    <w:rsid w:val="00844A5C"/>
    <w:rsid w:val="00845828"/>
    <w:rsid w:val="0084597B"/>
    <w:rsid w:val="008465C5"/>
    <w:rsid w:val="00853246"/>
    <w:rsid w:val="0085349E"/>
    <w:rsid w:val="00853B1B"/>
    <w:rsid w:val="00854443"/>
    <w:rsid w:val="008545D0"/>
    <w:rsid w:val="008546A0"/>
    <w:rsid w:val="00855943"/>
    <w:rsid w:val="00855EF8"/>
    <w:rsid w:val="008607B8"/>
    <w:rsid w:val="00861302"/>
    <w:rsid w:val="0086188A"/>
    <w:rsid w:val="00862D02"/>
    <w:rsid w:val="00864C2D"/>
    <w:rsid w:val="00865AAC"/>
    <w:rsid w:val="00865CBD"/>
    <w:rsid w:val="00870139"/>
    <w:rsid w:val="008718F8"/>
    <w:rsid w:val="00872F48"/>
    <w:rsid w:val="00873CF4"/>
    <w:rsid w:val="008748E9"/>
    <w:rsid w:val="00876189"/>
    <w:rsid w:val="00877737"/>
    <w:rsid w:val="008814C6"/>
    <w:rsid w:val="0088174D"/>
    <w:rsid w:val="008825F7"/>
    <w:rsid w:val="00882F3C"/>
    <w:rsid w:val="00883E26"/>
    <w:rsid w:val="00883F4E"/>
    <w:rsid w:val="00883FEC"/>
    <w:rsid w:val="00884170"/>
    <w:rsid w:val="008841AB"/>
    <w:rsid w:val="008843DA"/>
    <w:rsid w:val="00885557"/>
    <w:rsid w:val="00886467"/>
    <w:rsid w:val="00886625"/>
    <w:rsid w:val="00890270"/>
    <w:rsid w:val="00891A33"/>
    <w:rsid w:val="008920E8"/>
    <w:rsid w:val="008927EB"/>
    <w:rsid w:val="0089320B"/>
    <w:rsid w:val="00893CB4"/>
    <w:rsid w:val="008945DF"/>
    <w:rsid w:val="00895755"/>
    <w:rsid w:val="008970AB"/>
    <w:rsid w:val="008A06FB"/>
    <w:rsid w:val="008A1F7C"/>
    <w:rsid w:val="008A3700"/>
    <w:rsid w:val="008A43C3"/>
    <w:rsid w:val="008A4F68"/>
    <w:rsid w:val="008A653D"/>
    <w:rsid w:val="008A72AE"/>
    <w:rsid w:val="008B15C2"/>
    <w:rsid w:val="008B1AA7"/>
    <w:rsid w:val="008B2E10"/>
    <w:rsid w:val="008B515D"/>
    <w:rsid w:val="008B6970"/>
    <w:rsid w:val="008B7BE1"/>
    <w:rsid w:val="008C0C9F"/>
    <w:rsid w:val="008C168A"/>
    <w:rsid w:val="008C2898"/>
    <w:rsid w:val="008C3641"/>
    <w:rsid w:val="008C3B82"/>
    <w:rsid w:val="008C415E"/>
    <w:rsid w:val="008C4F35"/>
    <w:rsid w:val="008C55BF"/>
    <w:rsid w:val="008C581E"/>
    <w:rsid w:val="008C71AA"/>
    <w:rsid w:val="008D0CB7"/>
    <w:rsid w:val="008D12A5"/>
    <w:rsid w:val="008D2328"/>
    <w:rsid w:val="008D2340"/>
    <w:rsid w:val="008D2561"/>
    <w:rsid w:val="008D2997"/>
    <w:rsid w:val="008D30B1"/>
    <w:rsid w:val="008D4A72"/>
    <w:rsid w:val="008D545D"/>
    <w:rsid w:val="008D62A3"/>
    <w:rsid w:val="008D764D"/>
    <w:rsid w:val="008E00A1"/>
    <w:rsid w:val="008E1B45"/>
    <w:rsid w:val="008E6629"/>
    <w:rsid w:val="008E72BE"/>
    <w:rsid w:val="008F0C7A"/>
    <w:rsid w:val="008F14E9"/>
    <w:rsid w:val="008F1C0A"/>
    <w:rsid w:val="008F2918"/>
    <w:rsid w:val="008F2F7E"/>
    <w:rsid w:val="008F51C1"/>
    <w:rsid w:val="008F55AE"/>
    <w:rsid w:val="008F5B30"/>
    <w:rsid w:val="008F5C82"/>
    <w:rsid w:val="00903420"/>
    <w:rsid w:val="00903B91"/>
    <w:rsid w:val="00903DAD"/>
    <w:rsid w:val="00905AD8"/>
    <w:rsid w:val="00906A9A"/>
    <w:rsid w:val="009073EE"/>
    <w:rsid w:val="00907969"/>
    <w:rsid w:val="009112EC"/>
    <w:rsid w:val="00911E24"/>
    <w:rsid w:val="00911F43"/>
    <w:rsid w:val="0091340A"/>
    <w:rsid w:val="009151BB"/>
    <w:rsid w:val="0091546B"/>
    <w:rsid w:val="009158E9"/>
    <w:rsid w:val="009165E2"/>
    <w:rsid w:val="0091689C"/>
    <w:rsid w:val="009175A9"/>
    <w:rsid w:val="00917756"/>
    <w:rsid w:val="00917FBC"/>
    <w:rsid w:val="009211BB"/>
    <w:rsid w:val="0092126E"/>
    <w:rsid w:val="009212BA"/>
    <w:rsid w:val="0092329D"/>
    <w:rsid w:val="00923E06"/>
    <w:rsid w:val="00923E5D"/>
    <w:rsid w:val="00924B8A"/>
    <w:rsid w:val="00926256"/>
    <w:rsid w:val="009270F5"/>
    <w:rsid w:val="00930AB5"/>
    <w:rsid w:val="00930F5A"/>
    <w:rsid w:val="009328B0"/>
    <w:rsid w:val="00932A53"/>
    <w:rsid w:val="00932FCB"/>
    <w:rsid w:val="0093408C"/>
    <w:rsid w:val="009364CE"/>
    <w:rsid w:val="009366E0"/>
    <w:rsid w:val="00937631"/>
    <w:rsid w:val="00937B3A"/>
    <w:rsid w:val="00937CA3"/>
    <w:rsid w:val="00943859"/>
    <w:rsid w:val="009448BC"/>
    <w:rsid w:val="009452D7"/>
    <w:rsid w:val="00945989"/>
    <w:rsid w:val="00946ECD"/>
    <w:rsid w:val="009475E0"/>
    <w:rsid w:val="009509EE"/>
    <w:rsid w:val="00951AF5"/>
    <w:rsid w:val="00952E91"/>
    <w:rsid w:val="009531BB"/>
    <w:rsid w:val="00953FD7"/>
    <w:rsid w:val="00954015"/>
    <w:rsid w:val="0095408D"/>
    <w:rsid w:val="00955D1E"/>
    <w:rsid w:val="0095606B"/>
    <w:rsid w:val="009564AD"/>
    <w:rsid w:val="0095694E"/>
    <w:rsid w:val="009578CF"/>
    <w:rsid w:val="00957A84"/>
    <w:rsid w:val="009611C5"/>
    <w:rsid w:val="009615FE"/>
    <w:rsid w:val="00962057"/>
    <w:rsid w:val="00962A87"/>
    <w:rsid w:val="00964598"/>
    <w:rsid w:val="0096497A"/>
    <w:rsid w:val="009649DE"/>
    <w:rsid w:val="00965BCB"/>
    <w:rsid w:val="00965C73"/>
    <w:rsid w:val="00966230"/>
    <w:rsid w:val="009674B0"/>
    <w:rsid w:val="0096763D"/>
    <w:rsid w:val="00967815"/>
    <w:rsid w:val="00970848"/>
    <w:rsid w:val="009710F0"/>
    <w:rsid w:val="00972DA0"/>
    <w:rsid w:val="009730BB"/>
    <w:rsid w:val="009734DD"/>
    <w:rsid w:val="00977754"/>
    <w:rsid w:val="00977766"/>
    <w:rsid w:val="009779A2"/>
    <w:rsid w:val="00980B5B"/>
    <w:rsid w:val="00981024"/>
    <w:rsid w:val="00982138"/>
    <w:rsid w:val="009847C2"/>
    <w:rsid w:val="009849B8"/>
    <w:rsid w:val="00986D99"/>
    <w:rsid w:val="00990002"/>
    <w:rsid w:val="00992E20"/>
    <w:rsid w:val="0099367A"/>
    <w:rsid w:val="009943ED"/>
    <w:rsid w:val="009943FC"/>
    <w:rsid w:val="00994986"/>
    <w:rsid w:val="00995113"/>
    <w:rsid w:val="00995EE0"/>
    <w:rsid w:val="009967CD"/>
    <w:rsid w:val="00996A7E"/>
    <w:rsid w:val="009A0CD1"/>
    <w:rsid w:val="009A0DCD"/>
    <w:rsid w:val="009A1688"/>
    <w:rsid w:val="009A22FA"/>
    <w:rsid w:val="009A318C"/>
    <w:rsid w:val="009A44F0"/>
    <w:rsid w:val="009A485C"/>
    <w:rsid w:val="009A4A3F"/>
    <w:rsid w:val="009A6023"/>
    <w:rsid w:val="009A64F7"/>
    <w:rsid w:val="009A70FD"/>
    <w:rsid w:val="009A7688"/>
    <w:rsid w:val="009A7B33"/>
    <w:rsid w:val="009B213A"/>
    <w:rsid w:val="009B3B82"/>
    <w:rsid w:val="009B3EE5"/>
    <w:rsid w:val="009B3FA6"/>
    <w:rsid w:val="009B51B0"/>
    <w:rsid w:val="009B5B4A"/>
    <w:rsid w:val="009C32CA"/>
    <w:rsid w:val="009C3CC2"/>
    <w:rsid w:val="009C653D"/>
    <w:rsid w:val="009C7CCF"/>
    <w:rsid w:val="009D02F7"/>
    <w:rsid w:val="009D357E"/>
    <w:rsid w:val="009D5BFE"/>
    <w:rsid w:val="009E0376"/>
    <w:rsid w:val="009E1E7F"/>
    <w:rsid w:val="009E3056"/>
    <w:rsid w:val="009E481C"/>
    <w:rsid w:val="009E5FAF"/>
    <w:rsid w:val="009E69FE"/>
    <w:rsid w:val="009E6CB3"/>
    <w:rsid w:val="009E6F17"/>
    <w:rsid w:val="009E762D"/>
    <w:rsid w:val="009E7779"/>
    <w:rsid w:val="009E7D7A"/>
    <w:rsid w:val="009F150D"/>
    <w:rsid w:val="009F1780"/>
    <w:rsid w:val="009F25A3"/>
    <w:rsid w:val="009F27F0"/>
    <w:rsid w:val="009F3359"/>
    <w:rsid w:val="009F5066"/>
    <w:rsid w:val="009F548D"/>
    <w:rsid w:val="00A0147E"/>
    <w:rsid w:val="00A016DA"/>
    <w:rsid w:val="00A02AD5"/>
    <w:rsid w:val="00A0321E"/>
    <w:rsid w:val="00A0408C"/>
    <w:rsid w:val="00A042D0"/>
    <w:rsid w:val="00A04C48"/>
    <w:rsid w:val="00A051D8"/>
    <w:rsid w:val="00A0700E"/>
    <w:rsid w:val="00A11113"/>
    <w:rsid w:val="00A2337E"/>
    <w:rsid w:val="00A23C9C"/>
    <w:rsid w:val="00A249F8"/>
    <w:rsid w:val="00A25E5A"/>
    <w:rsid w:val="00A25FC8"/>
    <w:rsid w:val="00A3152D"/>
    <w:rsid w:val="00A32196"/>
    <w:rsid w:val="00A34BAE"/>
    <w:rsid w:val="00A34DAD"/>
    <w:rsid w:val="00A35AEC"/>
    <w:rsid w:val="00A369FB"/>
    <w:rsid w:val="00A36B62"/>
    <w:rsid w:val="00A37553"/>
    <w:rsid w:val="00A37938"/>
    <w:rsid w:val="00A40530"/>
    <w:rsid w:val="00A40C76"/>
    <w:rsid w:val="00A40ECF"/>
    <w:rsid w:val="00A42910"/>
    <w:rsid w:val="00A432B4"/>
    <w:rsid w:val="00A441D8"/>
    <w:rsid w:val="00A44BA4"/>
    <w:rsid w:val="00A47C66"/>
    <w:rsid w:val="00A516F8"/>
    <w:rsid w:val="00A52385"/>
    <w:rsid w:val="00A5285C"/>
    <w:rsid w:val="00A53A6B"/>
    <w:rsid w:val="00A54BB4"/>
    <w:rsid w:val="00A55338"/>
    <w:rsid w:val="00A55C1F"/>
    <w:rsid w:val="00A56D5A"/>
    <w:rsid w:val="00A56D7F"/>
    <w:rsid w:val="00A6046E"/>
    <w:rsid w:val="00A60567"/>
    <w:rsid w:val="00A60735"/>
    <w:rsid w:val="00A60C97"/>
    <w:rsid w:val="00A60EC1"/>
    <w:rsid w:val="00A61363"/>
    <w:rsid w:val="00A63F63"/>
    <w:rsid w:val="00A64F89"/>
    <w:rsid w:val="00A65D81"/>
    <w:rsid w:val="00A66C8E"/>
    <w:rsid w:val="00A67B9C"/>
    <w:rsid w:val="00A70850"/>
    <w:rsid w:val="00A72239"/>
    <w:rsid w:val="00A725AA"/>
    <w:rsid w:val="00A730AA"/>
    <w:rsid w:val="00A7464A"/>
    <w:rsid w:val="00A75CA4"/>
    <w:rsid w:val="00A75D29"/>
    <w:rsid w:val="00A75D62"/>
    <w:rsid w:val="00A76247"/>
    <w:rsid w:val="00A76427"/>
    <w:rsid w:val="00A76B74"/>
    <w:rsid w:val="00A77268"/>
    <w:rsid w:val="00A776E1"/>
    <w:rsid w:val="00A801FD"/>
    <w:rsid w:val="00A80462"/>
    <w:rsid w:val="00A815FD"/>
    <w:rsid w:val="00A82C55"/>
    <w:rsid w:val="00A832BF"/>
    <w:rsid w:val="00A83C99"/>
    <w:rsid w:val="00A83CB6"/>
    <w:rsid w:val="00A84065"/>
    <w:rsid w:val="00A840DF"/>
    <w:rsid w:val="00A85F76"/>
    <w:rsid w:val="00A87DDD"/>
    <w:rsid w:val="00A9006B"/>
    <w:rsid w:val="00A92A1E"/>
    <w:rsid w:val="00A92D50"/>
    <w:rsid w:val="00A932EA"/>
    <w:rsid w:val="00A934CA"/>
    <w:rsid w:val="00A93975"/>
    <w:rsid w:val="00A939D2"/>
    <w:rsid w:val="00A93B88"/>
    <w:rsid w:val="00A94DB6"/>
    <w:rsid w:val="00A94F34"/>
    <w:rsid w:val="00A957B0"/>
    <w:rsid w:val="00A96ADA"/>
    <w:rsid w:val="00A97243"/>
    <w:rsid w:val="00A97BA3"/>
    <w:rsid w:val="00A97F51"/>
    <w:rsid w:val="00AA30DD"/>
    <w:rsid w:val="00AA714A"/>
    <w:rsid w:val="00AB054B"/>
    <w:rsid w:val="00AB057A"/>
    <w:rsid w:val="00AB15C1"/>
    <w:rsid w:val="00AB31F8"/>
    <w:rsid w:val="00AB3A9B"/>
    <w:rsid w:val="00AB3CDE"/>
    <w:rsid w:val="00AB56FB"/>
    <w:rsid w:val="00AB6D20"/>
    <w:rsid w:val="00AB6FDA"/>
    <w:rsid w:val="00AB7769"/>
    <w:rsid w:val="00AC152F"/>
    <w:rsid w:val="00AC2906"/>
    <w:rsid w:val="00AC4390"/>
    <w:rsid w:val="00AC4B23"/>
    <w:rsid w:val="00AC732A"/>
    <w:rsid w:val="00AD02E2"/>
    <w:rsid w:val="00AD0BC0"/>
    <w:rsid w:val="00AD3122"/>
    <w:rsid w:val="00AD494F"/>
    <w:rsid w:val="00AD4E61"/>
    <w:rsid w:val="00AD76F8"/>
    <w:rsid w:val="00AE265A"/>
    <w:rsid w:val="00AE3237"/>
    <w:rsid w:val="00AE337A"/>
    <w:rsid w:val="00AE34E4"/>
    <w:rsid w:val="00AE46E1"/>
    <w:rsid w:val="00AE5811"/>
    <w:rsid w:val="00AE7CD8"/>
    <w:rsid w:val="00AF1474"/>
    <w:rsid w:val="00AF2C9E"/>
    <w:rsid w:val="00AF59E8"/>
    <w:rsid w:val="00AF5CF9"/>
    <w:rsid w:val="00AF5FF1"/>
    <w:rsid w:val="00AF6C7F"/>
    <w:rsid w:val="00AF759F"/>
    <w:rsid w:val="00B01E44"/>
    <w:rsid w:val="00B01FEE"/>
    <w:rsid w:val="00B02843"/>
    <w:rsid w:val="00B03A43"/>
    <w:rsid w:val="00B047FE"/>
    <w:rsid w:val="00B0591A"/>
    <w:rsid w:val="00B05E0C"/>
    <w:rsid w:val="00B06498"/>
    <w:rsid w:val="00B06881"/>
    <w:rsid w:val="00B06D1A"/>
    <w:rsid w:val="00B1082B"/>
    <w:rsid w:val="00B11E8E"/>
    <w:rsid w:val="00B13324"/>
    <w:rsid w:val="00B153B4"/>
    <w:rsid w:val="00B163C1"/>
    <w:rsid w:val="00B16FF3"/>
    <w:rsid w:val="00B1778F"/>
    <w:rsid w:val="00B20DED"/>
    <w:rsid w:val="00B21A7E"/>
    <w:rsid w:val="00B22955"/>
    <w:rsid w:val="00B23DF7"/>
    <w:rsid w:val="00B267B1"/>
    <w:rsid w:val="00B2695B"/>
    <w:rsid w:val="00B26AD2"/>
    <w:rsid w:val="00B26D5B"/>
    <w:rsid w:val="00B27857"/>
    <w:rsid w:val="00B307D6"/>
    <w:rsid w:val="00B30F89"/>
    <w:rsid w:val="00B32AE8"/>
    <w:rsid w:val="00B342C9"/>
    <w:rsid w:val="00B34BE8"/>
    <w:rsid w:val="00B37362"/>
    <w:rsid w:val="00B374E4"/>
    <w:rsid w:val="00B41C46"/>
    <w:rsid w:val="00B42DE8"/>
    <w:rsid w:val="00B433DA"/>
    <w:rsid w:val="00B456E5"/>
    <w:rsid w:val="00B470E0"/>
    <w:rsid w:val="00B478F4"/>
    <w:rsid w:val="00B47972"/>
    <w:rsid w:val="00B5126B"/>
    <w:rsid w:val="00B52DC4"/>
    <w:rsid w:val="00B531BC"/>
    <w:rsid w:val="00B54381"/>
    <w:rsid w:val="00B550F5"/>
    <w:rsid w:val="00B55B47"/>
    <w:rsid w:val="00B605B7"/>
    <w:rsid w:val="00B61B96"/>
    <w:rsid w:val="00B62646"/>
    <w:rsid w:val="00B64EDC"/>
    <w:rsid w:val="00B656AE"/>
    <w:rsid w:val="00B65A95"/>
    <w:rsid w:val="00B668E1"/>
    <w:rsid w:val="00B67860"/>
    <w:rsid w:val="00B72B85"/>
    <w:rsid w:val="00B72E2D"/>
    <w:rsid w:val="00B730A6"/>
    <w:rsid w:val="00B7570E"/>
    <w:rsid w:val="00B771B3"/>
    <w:rsid w:val="00B77DE2"/>
    <w:rsid w:val="00B80A29"/>
    <w:rsid w:val="00B81D74"/>
    <w:rsid w:val="00B826CC"/>
    <w:rsid w:val="00B8553E"/>
    <w:rsid w:val="00B859A8"/>
    <w:rsid w:val="00B866E1"/>
    <w:rsid w:val="00B92722"/>
    <w:rsid w:val="00B935CC"/>
    <w:rsid w:val="00B951FA"/>
    <w:rsid w:val="00B962DE"/>
    <w:rsid w:val="00B96FAA"/>
    <w:rsid w:val="00BA127A"/>
    <w:rsid w:val="00BA2822"/>
    <w:rsid w:val="00BA4168"/>
    <w:rsid w:val="00BB1010"/>
    <w:rsid w:val="00BB1199"/>
    <w:rsid w:val="00BB2024"/>
    <w:rsid w:val="00BB233D"/>
    <w:rsid w:val="00BB3ECF"/>
    <w:rsid w:val="00BB5F59"/>
    <w:rsid w:val="00BB6196"/>
    <w:rsid w:val="00BB6521"/>
    <w:rsid w:val="00BB68A2"/>
    <w:rsid w:val="00BB7564"/>
    <w:rsid w:val="00BC07E9"/>
    <w:rsid w:val="00BC1450"/>
    <w:rsid w:val="00BC251C"/>
    <w:rsid w:val="00BC3896"/>
    <w:rsid w:val="00BC4553"/>
    <w:rsid w:val="00BC4B45"/>
    <w:rsid w:val="00BC4E31"/>
    <w:rsid w:val="00BC54EB"/>
    <w:rsid w:val="00BC5BB5"/>
    <w:rsid w:val="00BC700A"/>
    <w:rsid w:val="00BC706B"/>
    <w:rsid w:val="00BC7256"/>
    <w:rsid w:val="00BD09CC"/>
    <w:rsid w:val="00BD16B7"/>
    <w:rsid w:val="00BD1DFD"/>
    <w:rsid w:val="00BD2B1A"/>
    <w:rsid w:val="00BD3069"/>
    <w:rsid w:val="00BD5BDD"/>
    <w:rsid w:val="00BD61F5"/>
    <w:rsid w:val="00BD6756"/>
    <w:rsid w:val="00BD698F"/>
    <w:rsid w:val="00BE0594"/>
    <w:rsid w:val="00BE065E"/>
    <w:rsid w:val="00BE271B"/>
    <w:rsid w:val="00BE4088"/>
    <w:rsid w:val="00BE5E27"/>
    <w:rsid w:val="00BE5FD5"/>
    <w:rsid w:val="00BE64E8"/>
    <w:rsid w:val="00BE71A3"/>
    <w:rsid w:val="00BE75BA"/>
    <w:rsid w:val="00BE7BD6"/>
    <w:rsid w:val="00BF0AEF"/>
    <w:rsid w:val="00BF1416"/>
    <w:rsid w:val="00BF1441"/>
    <w:rsid w:val="00BF204C"/>
    <w:rsid w:val="00BF3012"/>
    <w:rsid w:val="00BF356D"/>
    <w:rsid w:val="00BF3CE2"/>
    <w:rsid w:val="00BF54D6"/>
    <w:rsid w:val="00BF56FF"/>
    <w:rsid w:val="00BF5F53"/>
    <w:rsid w:val="00BF6403"/>
    <w:rsid w:val="00BF6CE6"/>
    <w:rsid w:val="00C00984"/>
    <w:rsid w:val="00C00EFC"/>
    <w:rsid w:val="00C015E3"/>
    <w:rsid w:val="00C01CFB"/>
    <w:rsid w:val="00C03174"/>
    <w:rsid w:val="00C03A92"/>
    <w:rsid w:val="00C03B0E"/>
    <w:rsid w:val="00C07B0F"/>
    <w:rsid w:val="00C10118"/>
    <w:rsid w:val="00C11108"/>
    <w:rsid w:val="00C11FD2"/>
    <w:rsid w:val="00C135A9"/>
    <w:rsid w:val="00C14457"/>
    <w:rsid w:val="00C146B1"/>
    <w:rsid w:val="00C15440"/>
    <w:rsid w:val="00C179FE"/>
    <w:rsid w:val="00C206B3"/>
    <w:rsid w:val="00C22227"/>
    <w:rsid w:val="00C226ED"/>
    <w:rsid w:val="00C24163"/>
    <w:rsid w:val="00C26106"/>
    <w:rsid w:val="00C31519"/>
    <w:rsid w:val="00C33206"/>
    <w:rsid w:val="00C3325B"/>
    <w:rsid w:val="00C33FA5"/>
    <w:rsid w:val="00C351E1"/>
    <w:rsid w:val="00C35E73"/>
    <w:rsid w:val="00C3663A"/>
    <w:rsid w:val="00C407D4"/>
    <w:rsid w:val="00C409AB"/>
    <w:rsid w:val="00C421D9"/>
    <w:rsid w:val="00C429B5"/>
    <w:rsid w:val="00C42A83"/>
    <w:rsid w:val="00C44173"/>
    <w:rsid w:val="00C4477B"/>
    <w:rsid w:val="00C44A84"/>
    <w:rsid w:val="00C50CDD"/>
    <w:rsid w:val="00C540F3"/>
    <w:rsid w:val="00C60CA4"/>
    <w:rsid w:val="00C611AE"/>
    <w:rsid w:val="00C6182F"/>
    <w:rsid w:val="00C618A9"/>
    <w:rsid w:val="00C62C0F"/>
    <w:rsid w:val="00C654B5"/>
    <w:rsid w:val="00C65649"/>
    <w:rsid w:val="00C662EC"/>
    <w:rsid w:val="00C66A62"/>
    <w:rsid w:val="00C71A46"/>
    <w:rsid w:val="00C734C7"/>
    <w:rsid w:val="00C73C0A"/>
    <w:rsid w:val="00C74342"/>
    <w:rsid w:val="00C7500B"/>
    <w:rsid w:val="00C8209B"/>
    <w:rsid w:val="00C82DBA"/>
    <w:rsid w:val="00C83A74"/>
    <w:rsid w:val="00C83E6B"/>
    <w:rsid w:val="00C842D9"/>
    <w:rsid w:val="00C847DA"/>
    <w:rsid w:val="00C8528C"/>
    <w:rsid w:val="00C854BA"/>
    <w:rsid w:val="00C855BC"/>
    <w:rsid w:val="00C86DD9"/>
    <w:rsid w:val="00C87A6F"/>
    <w:rsid w:val="00C905BB"/>
    <w:rsid w:val="00C90BC9"/>
    <w:rsid w:val="00C90C69"/>
    <w:rsid w:val="00C90F5C"/>
    <w:rsid w:val="00C929DE"/>
    <w:rsid w:val="00C92DCD"/>
    <w:rsid w:val="00C9322F"/>
    <w:rsid w:val="00C9457F"/>
    <w:rsid w:val="00C957F3"/>
    <w:rsid w:val="00C97388"/>
    <w:rsid w:val="00CA0AD9"/>
    <w:rsid w:val="00CA2F0E"/>
    <w:rsid w:val="00CA3597"/>
    <w:rsid w:val="00CA3D9D"/>
    <w:rsid w:val="00CA4225"/>
    <w:rsid w:val="00CA4553"/>
    <w:rsid w:val="00CA4BD0"/>
    <w:rsid w:val="00CA6185"/>
    <w:rsid w:val="00CA67EA"/>
    <w:rsid w:val="00CB01D6"/>
    <w:rsid w:val="00CB0CC9"/>
    <w:rsid w:val="00CB150E"/>
    <w:rsid w:val="00CB166E"/>
    <w:rsid w:val="00CB1F9A"/>
    <w:rsid w:val="00CB2360"/>
    <w:rsid w:val="00CB36A0"/>
    <w:rsid w:val="00CB4026"/>
    <w:rsid w:val="00CB7056"/>
    <w:rsid w:val="00CB715F"/>
    <w:rsid w:val="00CC0735"/>
    <w:rsid w:val="00CC1089"/>
    <w:rsid w:val="00CC1559"/>
    <w:rsid w:val="00CC41B5"/>
    <w:rsid w:val="00CC562D"/>
    <w:rsid w:val="00CC59EA"/>
    <w:rsid w:val="00CC5CD3"/>
    <w:rsid w:val="00CC7AF4"/>
    <w:rsid w:val="00CD3A86"/>
    <w:rsid w:val="00CD43C8"/>
    <w:rsid w:val="00CD5832"/>
    <w:rsid w:val="00CD5B55"/>
    <w:rsid w:val="00CD688F"/>
    <w:rsid w:val="00CD736B"/>
    <w:rsid w:val="00CD73C6"/>
    <w:rsid w:val="00CD7EEB"/>
    <w:rsid w:val="00CD7F66"/>
    <w:rsid w:val="00CE1974"/>
    <w:rsid w:val="00CE1B8F"/>
    <w:rsid w:val="00CE444D"/>
    <w:rsid w:val="00CE4681"/>
    <w:rsid w:val="00CE76F5"/>
    <w:rsid w:val="00CE7E2C"/>
    <w:rsid w:val="00CF2A5D"/>
    <w:rsid w:val="00CF338F"/>
    <w:rsid w:val="00CF36D1"/>
    <w:rsid w:val="00CF4276"/>
    <w:rsid w:val="00CF5EDF"/>
    <w:rsid w:val="00CF6172"/>
    <w:rsid w:val="00CF75B2"/>
    <w:rsid w:val="00CF7CE9"/>
    <w:rsid w:val="00D0179C"/>
    <w:rsid w:val="00D03618"/>
    <w:rsid w:val="00D0402F"/>
    <w:rsid w:val="00D04988"/>
    <w:rsid w:val="00D05D71"/>
    <w:rsid w:val="00D06A85"/>
    <w:rsid w:val="00D07D91"/>
    <w:rsid w:val="00D11A41"/>
    <w:rsid w:val="00D142EB"/>
    <w:rsid w:val="00D145E6"/>
    <w:rsid w:val="00D158E6"/>
    <w:rsid w:val="00D21426"/>
    <w:rsid w:val="00D21B67"/>
    <w:rsid w:val="00D22A98"/>
    <w:rsid w:val="00D239D2"/>
    <w:rsid w:val="00D2498D"/>
    <w:rsid w:val="00D24C18"/>
    <w:rsid w:val="00D25C96"/>
    <w:rsid w:val="00D26F36"/>
    <w:rsid w:val="00D27CCC"/>
    <w:rsid w:val="00D30456"/>
    <w:rsid w:val="00D308BF"/>
    <w:rsid w:val="00D353EE"/>
    <w:rsid w:val="00D36AE6"/>
    <w:rsid w:val="00D40FBD"/>
    <w:rsid w:val="00D41216"/>
    <w:rsid w:val="00D41B14"/>
    <w:rsid w:val="00D41DF4"/>
    <w:rsid w:val="00D43C28"/>
    <w:rsid w:val="00D443A3"/>
    <w:rsid w:val="00D448F9"/>
    <w:rsid w:val="00D46A8D"/>
    <w:rsid w:val="00D46AC9"/>
    <w:rsid w:val="00D52719"/>
    <w:rsid w:val="00D5334B"/>
    <w:rsid w:val="00D5371E"/>
    <w:rsid w:val="00D53A64"/>
    <w:rsid w:val="00D53BDE"/>
    <w:rsid w:val="00D5401C"/>
    <w:rsid w:val="00D5473F"/>
    <w:rsid w:val="00D547DC"/>
    <w:rsid w:val="00D548FF"/>
    <w:rsid w:val="00D5520F"/>
    <w:rsid w:val="00D61C2B"/>
    <w:rsid w:val="00D625BF"/>
    <w:rsid w:val="00D63D01"/>
    <w:rsid w:val="00D64EF4"/>
    <w:rsid w:val="00D653D9"/>
    <w:rsid w:val="00D70430"/>
    <w:rsid w:val="00D711C3"/>
    <w:rsid w:val="00D71756"/>
    <w:rsid w:val="00D741AA"/>
    <w:rsid w:val="00D748E5"/>
    <w:rsid w:val="00D761AF"/>
    <w:rsid w:val="00D7654B"/>
    <w:rsid w:val="00D769CA"/>
    <w:rsid w:val="00D76ACF"/>
    <w:rsid w:val="00D7704C"/>
    <w:rsid w:val="00D85230"/>
    <w:rsid w:val="00D857F6"/>
    <w:rsid w:val="00D86C11"/>
    <w:rsid w:val="00D87D39"/>
    <w:rsid w:val="00D87F20"/>
    <w:rsid w:val="00D9059C"/>
    <w:rsid w:val="00D91704"/>
    <w:rsid w:val="00D93534"/>
    <w:rsid w:val="00D94C65"/>
    <w:rsid w:val="00D96263"/>
    <w:rsid w:val="00D96266"/>
    <w:rsid w:val="00D96734"/>
    <w:rsid w:val="00D96D76"/>
    <w:rsid w:val="00DA0257"/>
    <w:rsid w:val="00DA1F4F"/>
    <w:rsid w:val="00DA3595"/>
    <w:rsid w:val="00DA3F22"/>
    <w:rsid w:val="00DA764F"/>
    <w:rsid w:val="00DA7B43"/>
    <w:rsid w:val="00DB0D50"/>
    <w:rsid w:val="00DB0E44"/>
    <w:rsid w:val="00DB0FC5"/>
    <w:rsid w:val="00DB1E3F"/>
    <w:rsid w:val="00DB3243"/>
    <w:rsid w:val="00DB6B38"/>
    <w:rsid w:val="00DB7A3F"/>
    <w:rsid w:val="00DB7BFA"/>
    <w:rsid w:val="00DB7D7A"/>
    <w:rsid w:val="00DC079C"/>
    <w:rsid w:val="00DC08A7"/>
    <w:rsid w:val="00DC128F"/>
    <w:rsid w:val="00DC2015"/>
    <w:rsid w:val="00DC5421"/>
    <w:rsid w:val="00DC5F1C"/>
    <w:rsid w:val="00DC7644"/>
    <w:rsid w:val="00DD0EF9"/>
    <w:rsid w:val="00DD235F"/>
    <w:rsid w:val="00DD2D5D"/>
    <w:rsid w:val="00DD33E8"/>
    <w:rsid w:val="00DD392E"/>
    <w:rsid w:val="00DD4F4F"/>
    <w:rsid w:val="00DD6BDD"/>
    <w:rsid w:val="00DE0A65"/>
    <w:rsid w:val="00DE0F10"/>
    <w:rsid w:val="00DE1660"/>
    <w:rsid w:val="00DE1BA2"/>
    <w:rsid w:val="00DE2402"/>
    <w:rsid w:val="00DE2C71"/>
    <w:rsid w:val="00DE4165"/>
    <w:rsid w:val="00DE4625"/>
    <w:rsid w:val="00DE5588"/>
    <w:rsid w:val="00DE5AD8"/>
    <w:rsid w:val="00DE6F1D"/>
    <w:rsid w:val="00DE7018"/>
    <w:rsid w:val="00DE7077"/>
    <w:rsid w:val="00DF0783"/>
    <w:rsid w:val="00DF0E15"/>
    <w:rsid w:val="00DF153D"/>
    <w:rsid w:val="00DF23E2"/>
    <w:rsid w:val="00DF2889"/>
    <w:rsid w:val="00DF6221"/>
    <w:rsid w:val="00DF6DDC"/>
    <w:rsid w:val="00DF785F"/>
    <w:rsid w:val="00DF7AAC"/>
    <w:rsid w:val="00E006BC"/>
    <w:rsid w:val="00E0139B"/>
    <w:rsid w:val="00E01B97"/>
    <w:rsid w:val="00E02078"/>
    <w:rsid w:val="00E0309B"/>
    <w:rsid w:val="00E032BD"/>
    <w:rsid w:val="00E0369B"/>
    <w:rsid w:val="00E03DB3"/>
    <w:rsid w:val="00E04C17"/>
    <w:rsid w:val="00E061E4"/>
    <w:rsid w:val="00E11A79"/>
    <w:rsid w:val="00E12B1A"/>
    <w:rsid w:val="00E146C5"/>
    <w:rsid w:val="00E155B6"/>
    <w:rsid w:val="00E15AA6"/>
    <w:rsid w:val="00E15F3B"/>
    <w:rsid w:val="00E168CA"/>
    <w:rsid w:val="00E16E6F"/>
    <w:rsid w:val="00E22133"/>
    <w:rsid w:val="00E22730"/>
    <w:rsid w:val="00E2345B"/>
    <w:rsid w:val="00E247D5"/>
    <w:rsid w:val="00E266A2"/>
    <w:rsid w:val="00E31D29"/>
    <w:rsid w:val="00E32858"/>
    <w:rsid w:val="00E32C13"/>
    <w:rsid w:val="00E339BC"/>
    <w:rsid w:val="00E345C9"/>
    <w:rsid w:val="00E3478F"/>
    <w:rsid w:val="00E3614C"/>
    <w:rsid w:val="00E36C19"/>
    <w:rsid w:val="00E4075C"/>
    <w:rsid w:val="00E4605D"/>
    <w:rsid w:val="00E46A75"/>
    <w:rsid w:val="00E46BD6"/>
    <w:rsid w:val="00E4714C"/>
    <w:rsid w:val="00E50C79"/>
    <w:rsid w:val="00E517D3"/>
    <w:rsid w:val="00E5197F"/>
    <w:rsid w:val="00E51B3E"/>
    <w:rsid w:val="00E5429E"/>
    <w:rsid w:val="00E548C3"/>
    <w:rsid w:val="00E54ABA"/>
    <w:rsid w:val="00E54B17"/>
    <w:rsid w:val="00E55084"/>
    <w:rsid w:val="00E55DC0"/>
    <w:rsid w:val="00E565F5"/>
    <w:rsid w:val="00E5715B"/>
    <w:rsid w:val="00E57C58"/>
    <w:rsid w:val="00E60EAB"/>
    <w:rsid w:val="00E60EB6"/>
    <w:rsid w:val="00E63E66"/>
    <w:rsid w:val="00E64F94"/>
    <w:rsid w:val="00E65BA8"/>
    <w:rsid w:val="00E6624B"/>
    <w:rsid w:val="00E66D57"/>
    <w:rsid w:val="00E6740A"/>
    <w:rsid w:val="00E67E6C"/>
    <w:rsid w:val="00E70181"/>
    <w:rsid w:val="00E70531"/>
    <w:rsid w:val="00E70A48"/>
    <w:rsid w:val="00E71513"/>
    <w:rsid w:val="00E7180F"/>
    <w:rsid w:val="00E7242E"/>
    <w:rsid w:val="00E72C8C"/>
    <w:rsid w:val="00E72F97"/>
    <w:rsid w:val="00E734A8"/>
    <w:rsid w:val="00E7502D"/>
    <w:rsid w:val="00E76042"/>
    <w:rsid w:val="00E77020"/>
    <w:rsid w:val="00E77E08"/>
    <w:rsid w:val="00E80594"/>
    <w:rsid w:val="00E80FDA"/>
    <w:rsid w:val="00E82EDD"/>
    <w:rsid w:val="00E83CEA"/>
    <w:rsid w:val="00E85127"/>
    <w:rsid w:val="00E857FF"/>
    <w:rsid w:val="00E85EA8"/>
    <w:rsid w:val="00E86969"/>
    <w:rsid w:val="00E86E08"/>
    <w:rsid w:val="00E90D72"/>
    <w:rsid w:val="00E91789"/>
    <w:rsid w:val="00E91821"/>
    <w:rsid w:val="00E95024"/>
    <w:rsid w:val="00E96E6F"/>
    <w:rsid w:val="00E971BA"/>
    <w:rsid w:val="00E972D4"/>
    <w:rsid w:val="00E97C95"/>
    <w:rsid w:val="00E97EB3"/>
    <w:rsid w:val="00EA0B56"/>
    <w:rsid w:val="00EA2A0A"/>
    <w:rsid w:val="00EA2F43"/>
    <w:rsid w:val="00EA7635"/>
    <w:rsid w:val="00EB0AB6"/>
    <w:rsid w:val="00EB15F5"/>
    <w:rsid w:val="00EB230D"/>
    <w:rsid w:val="00EB3A03"/>
    <w:rsid w:val="00EB5076"/>
    <w:rsid w:val="00EB5A59"/>
    <w:rsid w:val="00EB7B8E"/>
    <w:rsid w:val="00EC2698"/>
    <w:rsid w:val="00EC281B"/>
    <w:rsid w:val="00EC3410"/>
    <w:rsid w:val="00EC35ED"/>
    <w:rsid w:val="00EC492A"/>
    <w:rsid w:val="00EC5273"/>
    <w:rsid w:val="00ED0F25"/>
    <w:rsid w:val="00ED16A1"/>
    <w:rsid w:val="00ED28D9"/>
    <w:rsid w:val="00ED3365"/>
    <w:rsid w:val="00ED3AC9"/>
    <w:rsid w:val="00ED57F5"/>
    <w:rsid w:val="00ED59C1"/>
    <w:rsid w:val="00ED6E10"/>
    <w:rsid w:val="00ED771E"/>
    <w:rsid w:val="00EE261E"/>
    <w:rsid w:val="00EE2961"/>
    <w:rsid w:val="00EE2B2A"/>
    <w:rsid w:val="00EE3255"/>
    <w:rsid w:val="00EE35B2"/>
    <w:rsid w:val="00EE3B4E"/>
    <w:rsid w:val="00EE47E7"/>
    <w:rsid w:val="00EE76AF"/>
    <w:rsid w:val="00EF220E"/>
    <w:rsid w:val="00EF2901"/>
    <w:rsid w:val="00EF377D"/>
    <w:rsid w:val="00EF44B2"/>
    <w:rsid w:val="00EF4B29"/>
    <w:rsid w:val="00EF5A1E"/>
    <w:rsid w:val="00EF6BFD"/>
    <w:rsid w:val="00EF7AF7"/>
    <w:rsid w:val="00EF7FD9"/>
    <w:rsid w:val="00F00228"/>
    <w:rsid w:val="00F02659"/>
    <w:rsid w:val="00F04822"/>
    <w:rsid w:val="00F0536B"/>
    <w:rsid w:val="00F056E1"/>
    <w:rsid w:val="00F05CE1"/>
    <w:rsid w:val="00F063DE"/>
    <w:rsid w:val="00F06672"/>
    <w:rsid w:val="00F1261A"/>
    <w:rsid w:val="00F130FE"/>
    <w:rsid w:val="00F148AB"/>
    <w:rsid w:val="00F15379"/>
    <w:rsid w:val="00F16F70"/>
    <w:rsid w:val="00F2010A"/>
    <w:rsid w:val="00F234F2"/>
    <w:rsid w:val="00F238B6"/>
    <w:rsid w:val="00F23DE1"/>
    <w:rsid w:val="00F246F2"/>
    <w:rsid w:val="00F24D25"/>
    <w:rsid w:val="00F27DA3"/>
    <w:rsid w:val="00F3005E"/>
    <w:rsid w:val="00F301E4"/>
    <w:rsid w:val="00F30E8E"/>
    <w:rsid w:val="00F31DEB"/>
    <w:rsid w:val="00F31F66"/>
    <w:rsid w:val="00F32A38"/>
    <w:rsid w:val="00F342E4"/>
    <w:rsid w:val="00F34B2C"/>
    <w:rsid w:val="00F350BF"/>
    <w:rsid w:val="00F37012"/>
    <w:rsid w:val="00F3794F"/>
    <w:rsid w:val="00F40118"/>
    <w:rsid w:val="00F401DB"/>
    <w:rsid w:val="00F40497"/>
    <w:rsid w:val="00F404F1"/>
    <w:rsid w:val="00F419F2"/>
    <w:rsid w:val="00F41CC4"/>
    <w:rsid w:val="00F44EB4"/>
    <w:rsid w:val="00F50A1B"/>
    <w:rsid w:val="00F50CC2"/>
    <w:rsid w:val="00F50CC3"/>
    <w:rsid w:val="00F51608"/>
    <w:rsid w:val="00F51D39"/>
    <w:rsid w:val="00F524A0"/>
    <w:rsid w:val="00F52573"/>
    <w:rsid w:val="00F52913"/>
    <w:rsid w:val="00F52A99"/>
    <w:rsid w:val="00F542E2"/>
    <w:rsid w:val="00F54AC0"/>
    <w:rsid w:val="00F5582A"/>
    <w:rsid w:val="00F562ED"/>
    <w:rsid w:val="00F60ACE"/>
    <w:rsid w:val="00F60FBA"/>
    <w:rsid w:val="00F64F75"/>
    <w:rsid w:val="00F65D81"/>
    <w:rsid w:val="00F671B8"/>
    <w:rsid w:val="00F7001D"/>
    <w:rsid w:val="00F70BF6"/>
    <w:rsid w:val="00F746DC"/>
    <w:rsid w:val="00F74760"/>
    <w:rsid w:val="00F74EAF"/>
    <w:rsid w:val="00F75447"/>
    <w:rsid w:val="00F7779F"/>
    <w:rsid w:val="00F803BA"/>
    <w:rsid w:val="00F80F51"/>
    <w:rsid w:val="00F812C0"/>
    <w:rsid w:val="00F81BBF"/>
    <w:rsid w:val="00F820AA"/>
    <w:rsid w:val="00F83133"/>
    <w:rsid w:val="00F84B84"/>
    <w:rsid w:val="00F85134"/>
    <w:rsid w:val="00F85954"/>
    <w:rsid w:val="00F85AEF"/>
    <w:rsid w:val="00F85F29"/>
    <w:rsid w:val="00F86029"/>
    <w:rsid w:val="00F86A16"/>
    <w:rsid w:val="00F87432"/>
    <w:rsid w:val="00F878E6"/>
    <w:rsid w:val="00F9180F"/>
    <w:rsid w:val="00F92E29"/>
    <w:rsid w:val="00F935E8"/>
    <w:rsid w:val="00F959A1"/>
    <w:rsid w:val="00F95BD1"/>
    <w:rsid w:val="00F95D17"/>
    <w:rsid w:val="00F963C7"/>
    <w:rsid w:val="00F969A6"/>
    <w:rsid w:val="00FA02E3"/>
    <w:rsid w:val="00FA19DD"/>
    <w:rsid w:val="00FA24D9"/>
    <w:rsid w:val="00FA4858"/>
    <w:rsid w:val="00FA66F0"/>
    <w:rsid w:val="00FA74F4"/>
    <w:rsid w:val="00FB187F"/>
    <w:rsid w:val="00FB2DD1"/>
    <w:rsid w:val="00FB72AE"/>
    <w:rsid w:val="00FB7A68"/>
    <w:rsid w:val="00FC1649"/>
    <w:rsid w:val="00FC2CB0"/>
    <w:rsid w:val="00FC2D88"/>
    <w:rsid w:val="00FC3B0F"/>
    <w:rsid w:val="00FC4517"/>
    <w:rsid w:val="00FC4603"/>
    <w:rsid w:val="00FC4DA1"/>
    <w:rsid w:val="00FC71F5"/>
    <w:rsid w:val="00FC7C46"/>
    <w:rsid w:val="00FD0DBA"/>
    <w:rsid w:val="00FD10C2"/>
    <w:rsid w:val="00FD11DB"/>
    <w:rsid w:val="00FD137C"/>
    <w:rsid w:val="00FD141F"/>
    <w:rsid w:val="00FD32B2"/>
    <w:rsid w:val="00FD35D5"/>
    <w:rsid w:val="00FD3947"/>
    <w:rsid w:val="00FD4905"/>
    <w:rsid w:val="00FD4C66"/>
    <w:rsid w:val="00FD4FBB"/>
    <w:rsid w:val="00FD60E1"/>
    <w:rsid w:val="00FE05C7"/>
    <w:rsid w:val="00FE0D8B"/>
    <w:rsid w:val="00FE2640"/>
    <w:rsid w:val="00FE31EE"/>
    <w:rsid w:val="00FE5FAC"/>
    <w:rsid w:val="00FE66B5"/>
    <w:rsid w:val="00FE69F2"/>
    <w:rsid w:val="00FE6EF3"/>
    <w:rsid w:val="00FE713E"/>
    <w:rsid w:val="00FF05D0"/>
    <w:rsid w:val="00FF183E"/>
    <w:rsid w:val="00FF33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ED37921-81A4-48B2-ABAB-D38C0431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TW"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2F"/>
    <w:pPr>
      <w:tabs>
        <w:tab w:val="left" w:pos="567"/>
        <w:tab w:val="left" w:pos="1134"/>
        <w:tab w:val="left" w:pos="1701"/>
        <w:tab w:val="left" w:pos="2268"/>
        <w:tab w:val="left" w:pos="2835"/>
      </w:tabs>
      <w:spacing w:before="120" w:after="240"/>
    </w:pPr>
    <w:rPr>
      <w:rFonts w:ascii="Arial" w:eastAsia="Times New Roman" w:hAnsi="Arial"/>
      <w:sz w:val="22"/>
      <w:lang w:val="en-GB" w:eastAsia="en-GB" w:bidi="ar-SA"/>
    </w:rPr>
  </w:style>
  <w:style w:type="paragraph" w:styleId="Heading1">
    <w:name w:val="heading 1"/>
    <w:next w:val="Normal"/>
    <w:link w:val="Heading1Char"/>
    <w:qFormat/>
    <w:rsid w:val="00C9322F"/>
    <w:pPr>
      <w:keepNext/>
      <w:spacing w:before="120" w:after="120"/>
      <w:jc w:val="center"/>
      <w:outlineLvl w:val="0"/>
    </w:pPr>
    <w:rPr>
      <w:rFonts w:ascii="Arial" w:eastAsia="Times New Roman" w:hAnsi="Arial" w:cs="Arial"/>
      <w:b/>
      <w:bCs/>
      <w:kern w:val="32"/>
      <w:sz w:val="28"/>
      <w:szCs w:val="32"/>
      <w:lang w:val="en-GB" w:eastAsia="en-US" w:bidi="ar-SA"/>
    </w:rPr>
  </w:style>
  <w:style w:type="paragraph" w:styleId="Heading2">
    <w:name w:val="heading 2"/>
    <w:basedOn w:val="Heading1"/>
    <w:next w:val="Normal"/>
    <w:link w:val="Heading2Char"/>
    <w:qFormat/>
    <w:rsid w:val="00C9322F"/>
    <w:pPr>
      <w:jc w:val="left"/>
      <w:outlineLvl w:val="1"/>
    </w:pPr>
    <w:rPr>
      <w:iCs/>
      <w:sz w:val="22"/>
      <w:szCs w:val="28"/>
    </w:rPr>
  </w:style>
  <w:style w:type="paragraph" w:styleId="Heading3">
    <w:name w:val="heading 3"/>
    <w:basedOn w:val="Heading2"/>
    <w:next w:val="Normal"/>
    <w:link w:val="Heading3Char"/>
    <w:qFormat/>
    <w:rsid w:val="00C9322F"/>
    <w:pPr>
      <w:overflowPunct w:val="0"/>
      <w:autoSpaceDE w:val="0"/>
      <w:autoSpaceDN w:val="0"/>
      <w:adjustRightInd w:val="0"/>
      <w:textAlignment w:val="baseline"/>
      <w:outlineLvl w:val="2"/>
    </w:pPr>
    <w:rPr>
      <w:b w:val="0"/>
      <w:i/>
      <w:color w:val="000000"/>
      <w:lang w:eastAsia="en-GB"/>
    </w:rPr>
  </w:style>
  <w:style w:type="paragraph" w:styleId="Heading4">
    <w:name w:val="heading 4"/>
    <w:basedOn w:val="Heading3"/>
    <w:next w:val="Normalnumberedlevel1"/>
    <w:link w:val="Heading4Char"/>
    <w:qFormat/>
    <w:rsid w:val="00C9322F"/>
    <w:pPr>
      <w:ind w:left="567"/>
      <w:outlineLvl w:val="3"/>
    </w:pPr>
    <w:rPr>
      <w:bCs w:val="0"/>
      <w:i w:val="0"/>
      <w:u w:val="single"/>
    </w:rPr>
  </w:style>
  <w:style w:type="paragraph" w:styleId="Heading5">
    <w:name w:val="heading 5"/>
    <w:basedOn w:val="Normal"/>
    <w:next w:val="Normal"/>
    <w:link w:val="Heading5Char"/>
    <w:semiHidden/>
    <w:unhideWhenUsed/>
    <w:qFormat/>
    <w:rsid w:val="00C9322F"/>
    <w:pPr>
      <w:spacing w:before="240" w:after="60"/>
      <w:jc w:val="both"/>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semiHidden/>
    <w:unhideWhenUsed/>
    <w:qFormat/>
    <w:rsid w:val="00C9322F"/>
    <w:pPr>
      <w:spacing w:before="240" w:after="60"/>
      <w:jc w:val="both"/>
      <w:outlineLvl w:val="5"/>
    </w:pPr>
    <w:rPr>
      <w:rFonts w:asciiTheme="minorHAnsi" w:eastAsiaTheme="minorEastAsia" w:hAnsiTheme="minorHAnsi" w:cstheme="minorBidi"/>
      <w:b/>
      <w:bCs/>
      <w:szCs w:val="22"/>
      <w:lang w:eastAsia="en-US"/>
    </w:rPr>
  </w:style>
  <w:style w:type="paragraph" w:styleId="Heading7">
    <w:name w:val="heading 7"/>
    <w:basedOn w:val="Normal"/>
    <w:next w:val="Normal"/>
    <w:link w:val="Heading7Char"/>
    <w:uiPriority w:val="9"/>
    <w:unhideWhenUsed/>
    <w:rsid w:val="00C9322F"/>
    <w:pPr>
      <w:spacing w:before="300"/>
      <w:outlineLvl w:val="6"/>
    </w:pPr>
    <w:rPr>
      <w:caps/>
      <w:color w:val="365F91" w:themeColor="accent1" w:themeShade="BF"/>
      <w:spacing w:val="10"/>
      <w:szCs w:val="22"/>
    </w:rPr>
  </w:style>
  <w:style w:type="paragraph" w:styleId="Heading8">
    <w:name w:val="heading 8"/>
    <w:basedOn w:val="Normal"/>
    <w:next w:val="Normal"/>
    <w:link w:val="Heading8Char"/>
    <w:uiPriority w:val="9"/>
    <w:unhideWhenUsed/>
    <w:rsid w:val="00C9322F"/>
    <w:pPr>
      <w:spacing w:before="300"/>
      <w:outlineLvl w:val="7"/>
    </w:pPr>
    <w:rPr>
      <w:caps/>
      <w:spacing w:val="10"/>
      <w:sz w:val="18"/>
      <w:szCs w:val="18"/>
    </w:rPr>
  </w:style>
  <w:style w:type="paragraph" w:styleId="Heading9">
    <w:name w:val="heading 9"/>
    <w:basedOn w:val="Normal"/>
    <w:next w:val="Normal"/>
    <w:link w:val="Heading9Char"/>
    <w:semiHidden/>
    <w:unhideWhenUsed/>
    <w:qFormat/>
    <w:rsid w:val="00C9322F"/>
    <w:pPr>
      <w:spacing w:before="240" w:after="60"/>
      <w:jc w:val="both"/>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basedOn w:val="Normal"/>
    <w:link w:val="AddressesChar"/>
    <w:qFormat/>
    <w:rsid w:val="00C9322F"/>
    <w:pPr>
      <w:contextualSpacing/>
    </w:pPr>
  </w:style>
  <w:style w:type="character" w:customStyle="1" w:styleId="AddressesChar">
    <w:name w:val="Addresses Char"/>
    <w:basedOn w:val="DefaultParagraphFont"/>
    <w:link w:val="Addresses"/>
    <w:rsid w:val="00C9322F"/>
    <w:rPr>
      <w:rFonts w:ascii="Arial" w:eastAsia="Times New Roman" w:hAnsi="Arial"/>
      <w:sz w:val="22"/>
      <w:lang w:val="en-GB" w:eastAsia="en-GB" w:bidi="ar-SA"/>
    </w:rPr>
  </w:style>
  <w:style w:type="paragraph" w:styleId="Footer">
    <w:name w:val="footer"/>
    <w:basedOn w:val="Normal"/>
    <w:link w:val="FooterChar"/>
    <w:rsid w:val="00C9322F"/>
    <w:pPr>
      <w:keepLines/>
      <w:spacing w:before="0" w:after="0"/>
      <w:jc w:val="center"/>
    </w:pPr>
    <w:rPr>
      <w:i/>
    </w:rPr>
  </w:style>
  <w:style w:type="character" w:customStyle="1" w:styleId="FooterChar">
    <w:name w:val="Footer Char"/>
    <w:link w:val="Footer"/>
    <w:rsid w:val="00C9322F"/>
    <w:rPr>
      <w:rFonts w:ascii="Arial" w:eastAsia="Times New Roman" w:hAnsi="Arial"/>
      <w:i/>
      <w:sz w:val="22"/>
      <w:lang w:val="en-GB" w:eastAsia="en-GB" w:bidi="ar-SA"/>
    </w:rPr>
  </w:style>
  <w:style w:type="paragraph" w:customStyle="1" w:styleId="AppendixHeader">
    <w:name w:val="Appendix Header"/>
    <w:basedOn w:val="Footer"/>
    <w:link w:val="AppendixHeaderChar"/>
    <w:qFormat/>
    <w:rsid w:val="00C9322F"/>
  </w:style>
  <w:style w:type="character" w:customStyle="1" w:styleId="AppendixHeaderChar">
    <w:name w:val="Appendix Header Char"/>
    <w:basedOn w:val="FooterChar"/>
    <w:link w:val="AppendixHeader"/>
    <w:rsid w:val="00C9322F"/>
    <w:rPr>
      <w:rFonts w:ascii="Arial" w:eastAsia="Times New Roman" w:hAnsi="Arial"/>
      <w:i/>
      <w:sz w:val="22"/>
      <w:lang w:val="en-GB" w:eastAsia="en-GB" w:bidi="ar-SA"/>
    </w:rPr>
  </w:style>
  <w:style w:type="paragraph" w:customStyle="1" w:styleId="Bodyparagraph">
    <w:name w:val="Body paragraph"/>
    <w:basedOn w:val="Normal"/>
    <w:link w:val="BodyparagraphChar"/>
    <w:qFormat/>
    <w:rsid w:val="00C9322F"/>
    <w:pPr>
      <w:jc w:val="both"/>
    </w:pPr>
    <w:rPr>
      <w:lang w:eastAsia="en-US"/>
    </w:rPr>
  </w:style>
  <w:style w:type="character" w:customStyle="1" w:styleId="BodyparagraphChar">
    <w:name w:val="Body paragraph Char"/>
    <w:basedOn w:val="DefaultParagraphFont"/>
    <w:link w:val="Bodyparagraph"/>
    <w:rsid w:val="00C9322F"/>
    <w:rPr>
      <w:rFonts w:ascii="Arial" w:eastAsia="Times New Roman" w:hAnsi="Arial"/>
      <w:sz w:val="22"/>
      <w:lang w:val="en-GB" w:eastAsia="en-US" w:bidi="ar-SA"/>
    </w:rPr>
  </w:style>
  <w:style w:type="paragraph" w:customStyle="1" w:styleId="BoxHeading2">
    <w:name w:val="Box Heading 2"/>
    <w:basedOn w:val="Heading2"/>
    <w:next w:val="Normal"/>
    <w:link w:val="BoxHeading2Char"/>
    <w:qFormat/>
    <w:rsid w:val="00B64EDC"/>
    <w:pPr>
      <w:spacing w:after="240"/>
    </w:pPr>
  </w:style>
  <w:style w:type="paragraph" w:styleId="BalloonText">
    <w:name w:val="Balloon Text"/>
    <w:basedOn w:val="Normal"/>
    <w:link w:val="BalloonTextChar"/>
    <w:rsid w:val="00C9322F"/>
    <w:pPr>
      <w:spacing w:before="0" w:after="0"/>
    </w:pPr>
    <w:rPr>
      <w:rFonts w:ascii="Tahoma" w:hAnsi="Tahoma" w:cs="Tahoma"/>
      <w:sz w:val="16"/>
      <w:szCs w:val="16"/>
    </w:rPr>
  </w:style>
  <w:style w:type="character" w:customStyle="1" w:styleId="BalloonTextChar">
    <w:name w:val="Balloon Text Char"/>
    <w:basedOn w:val="DefaultParagraphFont"/>
    <w:link w:val="BalloonText"/>
    <w:rsid w:val="00C9322F"/>
    <w:rPr>
      <w:rFonts w:ascii="Tahoma" w:eastAsia="Times New Roman" w:hAnsi="Tahoma" w:cs="Tahoma"/>
      <w:sz w:val="16"/>
      <w:szCs w:val="16"/>
      <w:lang w:val="en-GB" w:eastAsia="en-GB" w:bidi="ar-SA"/>
    </w:rPr>
  </w:style>
  <w:style w:type="character" w:customStyle="1" w:styleId="Heading1Char">
    <w:name w:val="Heading 1 Char"/>
    <w:basedOn w:val="DefaultParagraphFont"/>
    <w:link w:val="Heading1"/>
    <w:rsid w:val="00C9322F"/>
    <w:rPr>
      <w:rFonts w:ascii="Arial" w:eastAsia="Times New Roman" w:hAnsi="Arial" w:cs="Arial"/>
      <w:b/>
      <w:bCs/>
      <w:kern w:val="32"/>
      <w:sz w:val="28"/>
      <w:szCs w:val="32"/>
      <w:lang w:val="en-GB" w:eastAsia="en-US" w:bidi="ar-SA"/>
    </w:rPr>
  </w:style>
  <w:style w:type="character" w:customStyle="1" w:styleId="BoxHeading2Char">
    <w:name w:val="Box Heading 2 Char"/>
    <w:basedOn w:val="Heading2Char"/>
    <w:link w:val="BoxHeading2"/>
    <w:rsid w:val="00B64EDC"/>
    <w:rPr>
      <w:rFonts w:ascii="Arial" w:eastAsia="Times New Roman" w:hAnsi="Arial" w:cs="Arial"/>
      <w:b/>
      <w:bCs/>
      <w:iCs/>
      <w:kern w:val="32"/>
      <w:sz w:val="22"/>
      <w:szCs w:val="28"/>
      <w:lang w:val="en-GB" w:eastAsia="en-US" w:bidi="ar-SA"/>
    </w:rPr>
  </w:style>
  <w:style w:type="paragraph" w:customStyle="1" w:styleId="BoxTitle">
    <w:name w:val="Box Title"/>
    <w:basedOn w:val="Heading2"/>
    <w:next w:val="Normal"/>
    <w:link w:val="BoxTitleChar"/>
    <w:qFormat/>
    <w:rsid w:val="00C9322F"/>
  </w:style>
  <w:style w:type="character" w:customStyle="1" w:styleId="BoxTitleChar">
    <w:name w:val="Box Title Char"/>
    <w:basedOn w:val="Heading2Char"/>
    <w:link w:val="BoxTitle"/>
    <w:rsid w:val="00C9322F"/>
    <w:rPr>
      <w:rFonts w:ascii="Arial" w:eastAsia="Times New Roman" w:hAnsi="Arial" w:cs="Arial"/>
      <w:b/>
      <w:bCs/>
      <w:iCs/>
      <w:kern w:val="32"/>
      <w:sz w:val="22"/>
      <w:szCs w:val="28"/>
      <w:lang w:val="en-GB" w:eastAsia="en-US" w:bidi="ar-SA"/>
    </w:rPr>
  </w:style>
  <w:style w:type="paragraph" w:customStyle="1" w:styleId="Bulletedlist">
    <w:name w:val="Bulleted list"/>
    <w:basedOn w:val="Normal"/>
    <w:link w:val="BulletedlistChar"/>
    <w:qFormat/>
    <w:rsid w:val="00C9322F"/>
    <w:pPr>
      <w:numPr>
        <w:numId w:val="7"/>
      </w:numPr>
      <w:tabs>
        <w:tab w:val="clear" w:pos="567"/>
      </w:tabs>
    </w:pPr>
  </w:style>
  <w:style w:type="character" w:customStyle="1" w:styleId="BulletedlistChar">
    <w:name w:val="Bulleted list Char"/>
    <w:basedOn w:val="DefaultParagraphFont"/>
    <w:link w:val="Bulletedlist"/>
    <w:rsid w:val="00C9322F"/>
    <w:rPr>
      <w:rFonts w:ascii="Arial" w:eastAsia="Times New Roman" w:hAnsi="Arial"/>
      <w:sz w:val="22"/>
      <w:lang w:val="en-GB" w:eastAsia="en-GB" w:bidi="ar-SA"/>
    </w:rPr>
  </w:style>
  <w:style w:type="paragraph" w:customStyle="1" w:styleId="Centredtext">
    <w:name w:val="Centred text"/>
    <w:basedOn w:val="Normal"/>
    <w:link w:val="CentredtextChar"/>
    <w:qFormat/>
    <w:rsid w:val="00C9322F"/>
    <w:pPr>
      <w:keepLines/>
      <w:contextualSpacing/>
      <w:jc w:val="center"/>
    </w:pPr>
  </w:style>
  <w:style w:type="character" w:customStyle="1" w:styleId="CentredtextChar">
    <w:name w:val="Centred text Char"/>
    <w:basedOn w:val="DefaultParagraphFont"/>
    <w:link w:val="Centredtext"/>
    <w:rsid w:val="00C9322F"/>
    <w:rPr>
      <w:rFonts w:ascii="Arial" w:eastAsia="Times New Roman" w:hAnsi="Arial"/>
      <w:sz w:val="22"/>
      <w:lang w:val="en-GB" w:eastAsia="en-GB" w:bidi="ar-SA"/>
    </w:rPr>
  </w:style>
  <w:style w:type="paragraph" w:customStyle="1" w:styleId="Centredtextforboxes">
    <w:name w:val="Centred text for boxes"/>
    <w:basedOn w:val="Normal"/>
    <w:link w:val="CentredtextforboxesChar"/>
    <w:qFormat/>
    <w:rsid w:val="00B64EDC"/>
    <w:pPr>
      <w:spacing w:before="240"/>
      <w:contextualSpacing/>
      <w:jc w:val="center"/>
    </w:pPr>
  </w:style>
  <w:style w:type="character" w:customStyle="1" w:styleId="CentredtextforboxesChar">
    <w:name w:val="Centred text for boxes Char"/>
    <w:basedOn w:val="DefaultParagraphFont"/>
    <w:link w:val="Centredtextforboxes"/>
    <w:rsid w:val="00B64EDC"/>
    <w:rPr>
      <w:rFonts w:ascii="Arial" w:eastAsia="Times New Roman" w:hAnsi="Arial"/>
      <w:sz w:val="22"/>
      <w:lang w:val="en-GB" w:eastAsia="en-GB" w:bidi="ar-SA"/>
    </w:rPr>
  </w:style>
  <w:style w:type="paragraph" w:styleId="FootnoteText">
    <w:name w:val="footnote text"/>
    <w:aliases w:val="FT"/>
    <w:basedOn w:val="Normal"/>
    <w:link w:val="FootnoteTextChar"/>
    <w:rsid w:val="00C9322F"/>
    <w:pPr>
      <w:spacing w:before="0" w:after="120"/>
    </w:pPr>
    <w:rPr>
      <w:sz w:val="20"/>
    </w:rPr>
  </w:style>
  <w:style w:type="character" w:customStyle="1" w:styleId="FootnoteTextChar">
    <w:name w:val="Footnote Text Char"/>
    <w:aliases w:val="FT Char"/>
    <w:basedOn w:val="DefaultParagraphFont"/>
    <w:link w:val="FootnoteText"/>
    <w:rsid w:val="00C9322F"/>
    <w:rPr>
      <w:rFonts w:ascii="Arial" w:eastAsia="Times New Roman" w:hAnsi="Arial"/>
      <w:lang w:val="en-GB" w:eastAsia="en-GB" w:bidi="ar-SA"/>
    </w:rPr>
  </w:style>
  <w:style w:type="paragraph" w:customStyle="1" w:styleId="EFRAGfootnote">
    <w:name w:val="EFRAG footnote"/>
    <w:basedOn w:val="FootnoteText"/>
    <w:link w:val="EFRAGfootnoteChar"/>
    <w:qFormat/>
    <w:rsid w:val="00C9322F"/>
    <w:pPr>
      <w:spacing w:after="0"/>
      <w:contextualSpacing/>
    </w:pPr>
    <w:rPr>
      <w:sz w:val="16"/>
      <w:szCs w:val="16"/>
    </w:rPr>
  </w:style>
  <w:style w:type="character" w:customStyle="1" w:styleId="EFRAGfootnoteChar">
    <w:name w:val="EFRAG footnote Char"/>
    <w:basedOn w:val="FootnoteTextChar"/>
    <w:link w:val="EFRAGfootnote"/>
    <w:rsid w:val="00C9322F"/>
    <w:rPr>
      <w:rFonts w:ascii="Arial" w:eastAsia="Times New Roman" w:hAnsi="Arial"/>
      <w:sz w:val="16"/>
      <w:szCs w:val="16"/>
      <w:lang w:val="en-GB" w:eastAsia="en-GB" w:bidi="ar-SA"/>
    </w:rPr>
  </w:style>
  <w:style w:type="paragraph" w:customStyle="1" w:styleId="EFRAGnormal">
    <w:name w:val="EFRAG normal"/>
    <w:basedOn w:val="Normal"/>
    <w:link w:val="EFRAGnormalChar"/>
    <w:qFormat/>
    <w:rsid w:val="00C9322F"/>
    <w:pPr>
      <w:tabs>
        <w:tab w:val="clear" w:pos="567"/>
        <w:tab w:val="left" w:pos="562"/>
      </w:tabs>
      <w:ind w:left="567" w:hanging="567"/>
    </w:pPr>
    <w:rPr>
      <w:szCs w:val="22"/>
    </w:rPr>
  </w:style>
  <w:style w:type="character" w:customStyle="1" w:styleId="EFRAGnormalChar">
    <w:name w:val="EFRAG normal Char"/>
    <w:link w:val="EFRAGnormal"/>
    <w:rsid w:val="00C9322F"/>
    <w:rPr>
      <w:rFonts w:ascii="Arial" w:eastAsia="Times New Roman" w:hAnsi="Arial"/>
      <w:sz w:val="22"/>
      <w:szCs w:val="22"/>
      <w:lang w:val="en-GB" w:eastAsia="en-GB" w:bidi="ar-SA"/>
    </w:rPr>
  </w:style>
  <w:style w:type="numbering" w:customStyle="1" w:styleId="EFRAGNumbering">
    <w:name w:val="EFRAG Numbering"/>
    <w:uiPriority w:val="99"/>
    <w:rsid w:val="00C9322F"/>
    <w:pPr>
      <w:numPr>
        <w:numId w:val="1"/>
      </w:numPr>
    </w:pPr>
  </w:style>
  <w:style w:type="paragraph" w:customStyle="1" w:styleId="EmphasisBox">
    <w:name w:val="Emphasis Box"/>
    <w:basedOn w:val="Normal"/>
    <w:link w:val="EmphasisBoxChar"/>
    <w:qFormat/>
    <w:rsid w:val="00B64EDC"/>
    <w:rPr>
      <w:rFonts w:cs="Arial"/>
      <w:b/>
      <w:kern w:val="32"/>
      <w:szCs w:val="28"/>
    </w:rPr>
  </w:style>
  <w:style w:type="character" w:customStyle="1" w:styleId="EmphasisBoxChar">
    <w:name w:val="Emphasis Box Char"/>
    <w:basedOn w:val="Heading2Char"/>
    <w:link w:val="EmphasisBox"/>
    <w:rsid w:val="00B64EDC"/>
    <w:rPr>
      <w:rFonts w:ascii="Arial" w:eastAsia="Times New Roman" w:hAnsi="Arial" w:cs="Arial"/>
      <w:b/>
      <w:bCs w:val="0"/>
      <w:iCs w:val="0"/>
      <w:kern w:val="32"/>
      <w:sz w:val="22"/>
      <w:szCs w:val="28"/>
      <w:lang w:val="en-GB" w:eastAsia="en-GB" w:bidi="ar-SA"/>
    </w:rPr>
  </w:style>
  <w:style w:type="paragraph" w:customStyle="1" w:styleId="Footerleft">
    <w:name w:val="Footer left"/>
    <w:basedOn w:val="Footer"/>
    <w:link w:val="FooterleftChar"/>
    <w:qFormat/>
    <w:rsid w:val="00C9322F"/>
    <w:pPr>
      <w:jc w:val="left"/>
    </w:pPr>
  </w:style>
  <w:style w:type="character" w:customStyle="1" w:styleId="FooterleftChar">
    <w:name w:val="Footer left Char"/>
    <w:basedOn w:val="FooterChar"/>
    <w:link w:val="Footerleft"/>
    <w:rsid w:val="00C9322F"/>
    <w:rPr>
      <w:rFonts w:ascii="Arial" w:eastAsia="Times New Roman" w:hAnsi="Arial"/>
      <w:i/>
      <w:sz w:val="22"/>
      <w:lang w:val="en-GB" w:eastAsia="en-GB" w:bidi="ar-SA"/>
    </w:rPr>
  </w:style>
  <w:style w:type="paragraph" w:customStyle="1" w:styleId="Footerright">
    <w:name w:val="Footer right"/>
    <w:basedOn w:val="Footer"/>
    <w:link w:val="FooterrightChar"/>
    <w:qFormat/>
    <w:rsid w:val="00C9322F"/>
    <w:pPr>
      <w:jc w:val="right"/>
    </w:pPr>
  </w:style>
  <w:style w:type="character" w:customStyle="1" w:styleId="Heading2Char">
    <w:name w:val="Heading 2 Char"/>
    <w:basedOn w:val="DefaultParagraphFont"/>
    <w:link w:val="Heading2"/>
    <w:rsid w:val="00C9322F"/>
    <w:rPr>
      <w:rFonts w:ascii="Arial" w:eastAsia="Times New Roman" w:hAnsi="Arial" w:cs="Arial"/>
      <w:b/>
      <w:bCs/>
      <w:iCs/>
      <w:kern w:val="32"/>
      <w:sz w:val="22"/>
      <w:szCs w:val="28"/>
      <w:lang w:val="en-GB" w:eastAsia="en-US" w:bidi="ar-SA"/>
    </w:rPr>
  </w:style>
  <w:style w:type="character" w:customStyle="1" w:styleId="FooterrightChar">
    <w:name w:val="Footer right Char"/>
    <w:basedOn w:val="FooterChar"/>
    <w:link w:val="Footerright"/>
    <w:rsid w:val="00C9322F"/>
    <w:rPr>
      <w:rFonts w:ascii="Arial" w:eastAsia="Times New Roman" w:hAnsi="Arial"/>
      <w:i/>
      <w:sz w:val="22"/>
      <w:lang w:val="en-GB" w:eastAsia="en-GB" w:bidi="ar-SA"/>
    </w:rPr>
  </w:style>
  <w:style w:type="character" w:styleId="FootnoteReference">
    <w:name w:val="footnote reference"/>
    <w:rsid w:val="00C9322F"/>
    <w:rPr>
      <w:vertAlign w:val="superscript"/>
    </w:rPr>
  </w:style>
  <w:style w:type="paragraph" w:styleId="Header">
    <w:name w:val="header"/>
    <w:basedOn w:val="Normal"/>
    <w:link w:val="HeaderChar"/>
    <w:uiPriority w:val="99"/>
    <w:rsid w:val="00C9322F"/>
    <w:pPr>
      <w:tabs>
        <w:tab w:val="right" w:pos="2835"/>
      </w:tabs>
      <w:spacing w:before="0" w:after="0"/>
      <w:contextualSpacing/>
      <w:jc w:val="right"/>
    </w:pPr>
    <w:rPr>
      <w:b/>
    </w:rPr>
  </w:style>
  <w:style w:type="character" w:customStyle="1" w:styleId="HeaderChar">
    <w:name w:val="Header Char"/>
    <w:link w:val="Header"/>
    <w:uiPriority w:val="99"/>
    <w:rsid w:val="00C9322F"/>
    <w:rPr>
      <w:rFonts w:ascii="Arial" w:eastAsia="Times New Roman" w:hAnsi="Arial"/>
      <w:b/>
      <w:sz w:val="22"/>
      <w:lang w:val="en-GB" w:eastAsia="en-GB" w:bidi="ar-SA"/>
    </w:rPr>
  </w:style>
  <w:style w:type="paragraph" w:customStyle="1" w:styleId="Header-Appendix">
    <w:name w:val="Header - Appendix"/>
    <w:basedOn w:val="Footer"/>
    <w:link w:val="Header-AppendixChar"/>
    <w:uiPriority w:val="4"/>
    <w:rsid w:val="00C9322F"/>
    <w:pPr>
      <w:spacing w:after="240"/>
    </w:pPr>
  </w:style>
  <w:style w:type="character" w:customStyle="1" w:styleId="Header-AppendixChar">
    <w:name w:val="Header - Appendix Char"/>
    <w:basedOn w:val="FooterChar"/>
    <w:link w:val="Header-Appendix"/>
    <w:uiPriority w:val="4"/>
    <w:rsid w:val="00C9322F"/>
    <w:rPr>
      <w:rFonts w:ascii="Arial" w:eastAsia="Times New Roman" w:hAnsi="Arial"/>
      <w:i/>
      <w:sz w:val="22"/>
      <w:lang w:val="en-GB" w:eastAsia="en-GB" w:bidi="ar-SA"/>
    </w:rPr>
  </w:style>
  <w:style w:type="paragraph" w:customStyle="1" w:styleId="Header-FrontPage">
    <w:name w:val="Header - Front Page"/>
    <w:basedOn w:val="Header"/>
    <w:link w:val="Header-FrontPageChar"/>
    <w:uiPriority w:val="4"/>
    <w:rsid w:val="00C9322F"/>
  </w:style>
  <w:style w:type="character" w:customStyle="1" w:styleId="Heading3Char">
    <w:name w:val="Heading 3 Char"/>
    <w:basedOn w:val="DefaultParagraphFont"/>
    <w:link w:val="Heading3"/>
    <w:rsid w:val="00C9322F"/>
    <w:rPr>
      <w:rFonts w:ascii="Arial" w:eastAsia="Times New Roman" w:hAnsi="Arial" w:cs="Arial"/>
      <w:bCs/>
      <w:i/>
      <w:iCs/>
      <w:color w:val="000000"/>
      <w:kern w:val="32"/>
      <w:sz w:val="22"/>
      <w:szCs w:val="28"/>
      <w:lang w:val="en-GB" w:eastAsia="en-GB" w:bidi="ar-SA"/>
    </w:rPr>
  </w:style>
  <w:style w:type="character" w:customStyle="1" w:styleId="Header-FrontPageChar">
    <w:name w:val="Header - Front Page Char"/>
    <w:basedOn w:val="HeaderChar"/>
    <w:link w:val="Header-FrontPage"/>
    <w:uiPriority w:val="4"/>
    <w:rsid w:val="00C9322F"/>
    <w:rPr>
      <w:rFonts w:ascii="Arial" w:eastAsia="Times New Roman" w:hAnsi="Arial"/>
      <w:b/>
      <w:sz w:val="22"/>
      <w:lang w:val="en-GB" w:eastAsia="en-GB" w:bidi="ar-SA"/>
    </w:rPr>
  </w:style>
  <w:style w:type="character" w:styleId="Hyperlink">
    <w:name w:val="Hyperlink"/>
    <w:uiPriority w:val="99"/>
    <w:rsid w:val="00C9322F"/>
    <w:rPr>
      <w:color w:val="0000FF"/>
      <w:u w:val="single"/>
    </w:rPr>
  </w:style>
  <w:style w:type="paragraph" w:styleId="Revision">
    <w:name w:val="Revision"/>
    <w:hidden/>
    <w:uiPriority w:val="99"/>
    <w:semiHidden/>
    <w:rsid w:val="00CB01D6"/>
    <w:rPr>
      <w:sz w:val="22"/>
      <w:szCs w:val="22"/>
      <w:lang w:val="en-GB" w:eastAsia="en-US" w:bidi="ar-SA"/>
    </w:rPr>
  </w:style>
  <w:style w:type="paragraph" w:styleId="ListParagraph">
    <w:name w:val="List Paragraph"/>
    <w:basedOn w:val="Normal"/>
    <w:uiPriority w:val="34"/>
    <w:qFormat/>
    <w:rsid w:val="00C9322F"/>
    <w:pPr>
      <w:ind w:left="1134" w:hanging="567"/>
      <w:contextualSpacing/>
    </w:pPr>
  </w:style>
  <w:style w:type="paragraph" w:customStyle="1" w:styleId="Normalnumberedlevel1">
    <w:name w:val="Normal numbered level 1"/>
    <w:basedOn w:val="Normal"/>
    <w:link w:val="Normalnumberedlevel1Char"/>
    <w:uiPriority w:val="99"/>
    <w:qFormat/>
    <w:rsid w:val="00C9322F"/>
    <w:pPr>
      <w:numPr>
        <w:numId w:val="8"/>
      </w:numPr>
      <w:jc w:val="both"/>
    </w:pPr>
    <w:rPr>
      <w:rFonts w:cs="Arial"/>
      <w:szCs w:val="22"/>
      <w:lang w:eastAsia="en-US"/>
    </w:rPr>
  </w:style>
  <w:style w:type="character" w:customStyle="1" w:styleId="Normalnumberedlevel1Char">
    <w:name w:val="Normal numbered level 1 Char"/>
    <w:basedOn w:val="DefaultParagraphFont"/>
    <w:link w:val="Normalnumberedlevel1"/>
    <w:uiPriority w:val="99"/>
    <w:rsid w:val="00C9322F"/>
    <w:rPr>
      <w:rFonts w:ascii="Arial" w:eastAsia="Times New Roman" w:hAnsi="Arial" w:cs="Arial"/>
      <w:sz w:val="22"/>
      <w:szCs w:val="22"/>
      <w:lang w:val="en-GB" w:eastAsia="en-US" w:bidi="ar-SA"/>
    </w:rPr>
  </w:style>
  <w:style w:type="paragraph" w:customStyle="1" w:styleId="Normalnumberedlevel2">
    <w:name w:val="Normal numbered level 2"/>
    <w:basedOn w:val="Normalnumberedlevel1"/>
    <w:link w:val="Normalnumberedlevel2Char"/>
    <w:uiPriority w:val="99"/>
    <w:qFormat/>
    <w:rsid w:val="00C9322F"/>
    <w:pPr>
      <w:numPr>
        <w:ilvl w:val="1"/>
      </w:numPr>
    </w:pPr>
  </w:style>
  <w:style w:type="character" w:customStyle="1" w:styleId="Normalnumberedlevel2Char">
    <w:name w:val="Normal numbered level 2 Char"/>
    <w:basedOn w:val="DefaultParagraphFont"/>
    <w:link w:val="Normalnumberedlevel2"/>
    <w:uiPriority w:val="99"/>
    <w:rsid w:val="00C9322F"/>
    <w:rPr>
      <w:rFonts w:ascii="Arial" w:eastAsia="Times New Roman" w:hAnsi="Arial" w:cs="Arial"/>
      <w:sz w:val="22"/>
      <w:szCs w:val="22"/>
      <w:lang w:val="en-GB" w:eastAsia="en-US" w:bidi="ar-SA"/>
    </w:rPr>
  </w:style>
  <w:style w:type="paragraph" w:customStyle="1" w:styleId="Normalnumberedlevel3">
    <w:name w:val="Normal numbered level 3"/>
    <w:basedOn w:val="Normalnumberedlevel2"/>
    <w:link w:val="Normalnumberedlevel3Char"/>
    <w:qFormat/>
    <w:rsid w:val="00C9322F"/>
    <w:pPr>
      <w:numPr>
        <w:ilvl w:val="2"/>
      </w:numPr>
    </w:pPr>
    <w:rPr>
      <w:lang w:eastAsia="en-GB"/>
    </w:rPr>
  </w:style>
  <w:style w:type="character" w:customStyle="1" w:styleId="Normalnumberedlevel3Char">
    <w:name w:val="Normal numbered level 3 Char"/>
    <w:basedOn w:val="DefaultParagraphFont"/>
    <w:link w:val="Normalnumberedlevel3"/>
    <w:rsid w:val="00C9322F"/>
    <w:rPr>
      <w:rFonts w:ascii="Arial" w:eastAsia="Times New Roman" w:hAnsi="Arial" w:cs="Arial"/>
      <w:sz w:val="22"/>
      <w:szCs w:val="22"/>
      <w:lang w:val="en-GB" w:eastAsia="en-GB" w:bidi="ar-SA"/>
    </w:rPr>
  </w:style>
  <w:style w:type="paragraph" w:customStyle="1" w:styleId="Para">
    <w:name w:val="Para"/>
    <w:basedOn w:val="Normal"/>
    <w:uiPriority w:val="99"/>
    <w:rsid w:val="00B64EDC"/>
    <w:pPr>
      <w:widowControl w:val="0"/>
      <w:numPr>
        <w:ilvl w:val="1"/>
        <w:numId w:val="3"/>
      </w:numPr>
      <w:wordWrap w:val="0"/>
      <w:autoSpaceDE w:val="0"/>
      <w:autoSpaceDN w:val="0"/>
      <w:spacing w:after="180"/>
    </w:pPr>
    <w:rPr>
      <w:rFonts w:eastAsia="Batang" w:cs="Arial"/>
      <w:kern w:val="2"/>
      <w:szCs w:val="22"/>
      <w:lang w:eastAsia="ko-KR"/>
    </w:rPr>
  </w:style>
  <w:style w:type="paragraph" w:styleId="PlainText">
    <w:name w:val="Plain Text"/>
    <w:basedOn w:val="Normal"/>
    <w:link w:val="PlainTextChar"/>
    <w:uiPriority w:val="99"/>
    <w:unhideWhenUsed/>
    <w:rsid w:val="00B64EDC"/>
    <w:rPr>
      <w:rFonts w:ascii="Consolas" w:eastAsia="Calibri" w:hAnsi="Consolas"/>
      <w:sz w:val="21"/>
      <w:szCs w:val="21"/>
    </w:rPr>
  </w:style>
  <w:style w:type="character" w:customStyle="1" w:styleId="PlainTextChar">
    <w:name w:val="Plain Text Char"/>
    <w:link w:val="PlainText"/>
    <w:uiPriority w:val="99"/>
    <w:rsid w:val="00B64EDC"/>
    <w:rPr>
      <w:rFonts w:ascii="Consolas" w:hAnsi="Consolas"/>
      <w:sz w:val="21"/>
      <w:szCs w:val="21"/>
      <w:lang w:val="en-GB" w:eastAsia="en-GB" w:bidi="ar-SA"/>
    </w:rPr>
  </w:style>
  <w:style w:type="numbering" w:customStyle="1" w:styleId="QuestionBoxNumbering">
    <w:name w:val="Question Box Numbering"/>
    <w:uiPriority w:val="99"/>
    <w:rsid w:val="00C9322F"/>
    <w:pPr>
      <w:numPr>
        <w:numId w:val="4"/>
      </w:numPr>
    </w:pPr>
  </w:style>
  <w:style w:type="paragraph" w:styleId="Quote">
    <w:name w:val="Quote"/>
    <w:basedOn w:val="Normal"/>
    <w:link w:val="QuoteChar"/>
    <w:uiPriority w:val="29"/>
    <w:rsid w:val="00C9322F"/>
    <w:pPr>
      <w:keepNext/>
      <w:keepLines/>
      <w:ind w:left="1134"/>
      <w:contextualSpacing/>
    </w:pPr>
    <w:rPr>
      <w:i/>
      <w:iCs/>
    </w:rPr>
  </w:style>
  <w:style w:type="character" w:customStyle="1" w:styleId="QuoteChar">
    <w:name w:val="Quote Char"/>
    <w:basedOn w:val="DefaultParagraphFont"/>
    <w:link w:val="Quote"/>
    <w:uiPriority w:val="29"/>
    <w:rsid w:val="00C9322F"/>
    <w:rPr>
      <w:rFonts w:ascii="Arial" w:eastAsia="Times New Roman" w:hAnsi="Arial"/>
      <w:i/>
      <w:iCs/>
      <w:sz w:val="22"/>
      <w:lang w:val="en-GB" w:eastAsia="en-GB" w:bidi="ar-SA"/>
    </w:rPr>
  </w:style>
  <w:style w:type="paragraph" w:customStyle="1" w:styleId="Quoted">
    <w:name w:val="Quoted"/>
    <w:basedOn w:val="Quote"/>
    <w:next w:val="Normalnumberedlevel1"/>
    <w:link w:val="QuotedChar"/>
    <w:qFormat/>
    <w:rsid w:val="00C9322F"/>
    <w:pPr>
      <w:jc w:val="right"/>
    </w:pPr>
    <w:rPr>
      <w:i w:val="0"/>
      <w:sz w:val="18"/>
    </w:rPr>
  </w:style>
  <w:style w:type="character" w:customStyle="1" w:styleId="QuotedChar">
    <w:name w:val="Quoted Char"/>
    <w:basedOn w:val="QuoteChar"/>
    <w:link w:val="Quoted"/>
    <w:rsid w:val="00C9322F"/>
    <w:rPr>
      <w:rFonts w:ascii="Arial" w:eastAsia="Times New Roman" w:hAnsi="Arial"/>
      <w:i w:val="0"/>
      <w:iCs/>
      <w:sz w:val="18"/>
      <w:lang w:val="en-GB" w:eastAsia="en-GB" w:bidi="ar-SA"/>
    </w:rPr>
  </w:style>
  <w:style w:type="numbering" w:customStyle="1" w:styleId="Style1">
    <w:name w:val="Style1"/>
    <w:uiPriority w:val="99"/>
    <w:rsid w:val="00B64EDC"/>
    <w:pPr>
      <w:numPr>
        <w:numId w:val="5"/>
      </w:numPr>
    </w:pPr>
  </w:style>
  <w:style w:type="table" w:styleId="TableGrid">
    <w:name w:val="Table Grid"/>
    <w:basedOn w:val="TableNormal"/>
    <w:rsid w:val="00C9322F"/>
    <w:rPr>
      <w:rFonts w:ascii="Times New Roman" w:eastAsia="Times New Roman" w:hAnsi="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B64EDC"/>
    <w:rPr>
      <w:rFonts w:ascii="Times New Roman" w:eastAsia="Times New Roman" w:hAnsi="Times New Roman"/>
      <w:lang w:val="en-GB" w:eastAsia="en-GB"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Text">
    <w:name w:val="Table Text"/>
    <w:basedOn w:val="Bodyparagraph"/>
    <w:qFormat/>
    <w:rsid w:val="00C9322F"/>
    <w:pPr>
      <w:spacing w:before="0" w:after="0"/>
      <w:contextualSpacing/>
    </w:pPr>
  </w:style>
  <w:style w:type="paragraph" w:styleId="TOCHeading">
    <w:name w:val="TOC Heading"/>
    <w:basedOn w:val="Heading1"/>
    <w:next w:val="Normal"/>
    <w:uiPriority w:val="39"/>
    <w:semiHidden/>
    <w:unhideWhenUsed/>
    <w:qFormat/>
    <w:rsid w:val="00B64EDC"/>
    <w:pPr>
      <w:spacing w:after="60"/>
      <w:jc w:val="both"/>
      <w:outlineLvl w:val="9"/>
    </w:pPr>
    <w:rPr>
      <w:rFonts w:asciiTheme="majorHAnsi" w:eastAsiaTheme="majorEastAsia" w:hAnsiTheme="majorHAnsi" w:cstheme="majorBidi"/>
      <w:sz w:val="32"/>
    </w:rPr>
  </w:style>
  <w:style w:type="character" w:styleId="Emphasis">
    <w:name w:val="Emphasis"/>
    <w:basedOn w:val="DefaultParagraphFont"/>
    <w:uiPriority w:val="20"/>
    <w:qFormat/>
    <w:rsid w:val="00563798"/>
    <w:rPr>
      <w:i/>
      <w:iCs/>
    </w:rPr>
  </w:style>
  <w:style w:type="character" w:customStyle="1" w:styleId="Heading4Char">
    <w:name w:val="Heading 4 Char"/>
    <w:basedOn w:val="DefaultParagraphFont"/>
    <w:link w:val="Heading4"/>
    <w:rsid w:val="00C9322F"/>
    <w:rPr>
      <w:rFonts w:ascii="Arial" w:eastAsia="Times New Roman" w:hAnsi="Arial" w:cs="Arial"/>
      <w:iCs/>
      <w:color w:val="000000"/>
      <w:kern w:val="32"/>
      <w:sz w:val="22"/>
      <w:szCs w:val="28"/>
      <w:u w:val="single"/>
      <w:lang w:val="en-GB" w:eastAsia="en-GB" w:bidi="ar-SA"/>
    </w:rPr>
  </w:style>
  <w:style w:type="character" w:customStyle="1" w:styleId="Heading5Char">
    <w:name w:val="Heading 5 Char"/>
    <w:basedOn w:val="DefaultParagraphFont"/>
    <w:link w:val="Heading5"/>
    <w:semiHidden/>
    <w:rsid w:val="00C9322F"/>
    <w:rPr>
      <w:rFonts w:asciiTheme="minorHAnsi" w:eastAsiaTheme="minorEastAsia" w:hAnsiTheme="minorHAnsi" w:cstheme="minorBidi"/>
      <w:b/>
      <w:bCs/>
      <w:i/>
      <w:iCs/>
      <w:sz w:val="26"/>
      <w:szCs w:val="26"/>
      <w:lang w:val="en-GB" w:eastAsia="en-US" w:bidi="ar-SA"/>
    </w:rPr>
  </w:style>
  <w:style w:type="character" w:customStyle="1" w:styleId="Heading6Char">
    <w:name w:val="Heading 6 Char"/>
    <w:basedOn w:val="DefaultParagraphFont"/>
    <w:link w:val="Heading6"/>
    <w:semiHidden/>
    <w:rsid w:val="00C9322F"/>
    <w:rPr>
      <w:rFonts w:asciiTheme="minorHAnsi" w:eastAsiaTheme="minorEastAsia" w:hAnsiTheme="minorHAnsi" w:cstheme="minorBidi"/>
      <w:b/>
      <w:bCs/>
      <w:sz w:val="22"/>
      <w:szCs w:val="22"/>
      <w:lang w:val="en-GB" w:eastAsia="en-US" w:bidi="ar-SA"/>
    </w:rPr>
  </w:style>
  <w:style w:type="character" w:customStyle="1" w:styleId="Heading7Char">
    <w:name w:val="Heading 7 Char"/>
    <w:basedOn w:val="DefaultParagraphFont"/>
    <w:link w:val="Heading7"/>
    <w:uiPriority w:val="9"/>
    <w:rsid w:val="00C9322F"/>
    <w:rPr>
      <w:rFonts w:ascii="Arial" w:eastAsia="Times New Roman" w:hAnsi="Arial"/>
      <w:caps/>
      <w:color w:val="365F91" w:themeColor="accent1" w:themeShade="BF"/>
      <w:spacing w:val="10"/>
      <w:sz w:val="22"/>
      <w:szCs w:val="22"/>
      <w:lang w:val="en-GB" w:eastAsia="en-GB" w:bidi="ar-SA"/>
    </w:rPr>
  </w:style>
  <w:style w:type="character" w:customStyle="1" w:styleId="Heading8Char">
    <w:name w:val="Heading 8 Char"/>
    <w:basedOn w:val="DefaultParagraphFont"/>
    <w:link w:val="Heading8"/>
    <w:uiPriority w:val="9"/>
    <w:rsid w:val="00C9322F"/>
    <w:rPr>
      <w:rFonts w:ascii="Arial" w:eastAsia="Times New Roman" w:hAnsi="Arial"/>
      <w:caps/>
      <w:spacing w:val="10"/>
      <w:sz w:val="18"/>
      <w:szCs w:val="18"/>
      <w:lang w:val="en-GB" w:eastAsia="en-GB" w:bidi="ar-SA"/>
    </w:rPr>
  </w:style>
  <w:style w:type="character" w:customStyle="1" w:styleId="Heading9Char">
    <w:name w:val="Heading 9 Char"/>
    <w:basedOn w:val="DefaultParagraphFont"/>
    <w:link w:val="Heading9"/>
    <w:semiHidden/>
    <w:rsid w:val="00C9322F"/>
    <w:rPr>
      <w:rFonts w:asciiTheme="majorHAnsi" w:eastAsiaTheme="majorEastAsia" w:hAnsiTheme="majorHAnsi" w:cstheme="majorBidi"/>
      <w:sz w:val="22"/>
      <w:szCs w:val="22"/>
      <w:lang w:val="en-GB" w:eastAsia="en-US" w:bidi="ar-SA"/>
    </w:rPr>
  </w:style>
  <w:style w:type="paragraph" w:customStyle="1" w:styleId="Noteslevel1">
    <w:name w:val="Notes level 1"/>
    <w:basedOn w:val="Normalnumberedlevel1"/>
    <w:qFormat/>
    <w:rsid w:val="00C9322F"/>
    <w:pPr>
      <w:numPr>
        <w:numId w:val="0"/>
      </w:numPr>
      <w:spacing w:after="120"/>
    </w:pPr>
    <w:rPr>
      <w:i/>
    </w:rPr>
  </w:style>
  <w:style w:type="paragraph" w:customStyle="1" w:styleId="Noteslevel2">
    <w:name w:val="Notes level 2"/>
    <w:basedOn w:val="Normalnumberedlevel2"/>
    <w:qFormat/>
    <w:rsid w:val="00C9322F"/>
    <w:pPr>
      <w:numPr>
        <w:ilvl w:val="0"/>
        <w:numId w:val="0"/>
      </w:numPr>
      <w:spacing w:after="120"/>
    </w:pPr>
    <w:rPr>
      <w:i/>
    </w:rPr>
  </w:style>
  <w:style w:type="paragraph" w:customStyle="1" w:styleId="Noteslevel3">
    <w:name w:val="Notes level 3"/>
    <w:basedOn w:val="Normalnumberedlevel3"/>
    <w:qFormat/>
    <w:rsid w:val="00C9322F"/>
    <w:pPr>
      <w:numPr>
        <w:ilvl w:val="0"/>
        <w:numId w:val="0"/>
      </w:numPr>
      <w:spacing w:after="120"/>
    </w:pPr>
    <w:rPr>
      <w:i/>
    </w:rPr>
  </w:style>
  <w:style w:type="paragraph" w:customStyle="1" w:styleId="Questionboxlevel1">
    <w:name w:val="Question box level 1"/>
    <w:basedOn w:val="Bodyparagraph"/>
    <w:link w:val="Questionboxlevel1Char"/>
    <w:qFormat/>
    <w:rsid w:val="00C9322F"/>
    <w:pPr>
      <w:framePr w:wrap="around" w:vAnchor="text" w:hAnchor="text" w:y="1"/>
      <w:numPr>
        <w:numId w:val="9"/>
      </w:numPr>
    </w:pPr>
  </w:style>
  <w:style w:type="character" w:customStyle="1" w:styleId="Questionboxlevel1Char">
    <w:name w:val="Question box level 1 Char"/>
    <w:basedOn w:val="BodyparagraphChar"/>
    <w:link w:val="Questionboxlevel1"/>
    <w:rsid w:val="00C9322F"/>
    <w:rPr>
      <w:rFonts w:ascii="Arial" w:eastAsia="Times New Roman" w:hAnsi="Arial"/>
      <w:sz w:val="22"/>
      <w:lang w:val="en-GB" w:eastAsia="en-US" w:bidi="ar-SA"/>
    </w:rPr>
  </w:style>
  <w:style w:type="paragraph" w:customStyle="1" w:styleId="Questionboxlevel2">
    <w:name w:val="Question box level 2"/>
    <w:basedOn w:val="Questionboxlevel1"/>
    <w:link w:val="Questionboxlevel2Char"/>
    <w:qFormat/>
    <w:rsid w:val="00C9322F"/>
    <w:pPr>
      <w:framePr w:wrap="around"/>
      <w:numPr>
        <w:ilvl w:val="1"/>
      </w:numPr>
      <w:spacing w:after="120"/>
    </w:pPr>
  </w:style>
  <w:style w:type="character" w:customStyle="1" w:styleId="Questionboxlevel2Char">
    <w:name w:val="Question box level 2 Char"/>
    <w:basedOn w:val="Questionboxlevel1Char"/>
    <w:link w:val="Questionboxlevel2"/>
    <w:rsid w:val="00C9322F"/>
    <w:rPr>
      <w:rFonts w:ascii="Arial" w:eastAsia="Times New Roman" w:hAnsi="Arial"/>
      <w:sz w:val="22"/>
      <w:lang w:val="en-GB" w:eastAsia="en-US" w:bidi="ar-SA"/>
    </w:rPr>
  </w:style>
  <w:style w:type="paragraph" w:customStyle="1" w:styleId="Questionboxlevel3">
    <w:name w:val="Question box level 3"/>
    <w:basedOn w:val="Questionboxlevel2"/>
    <w:qFormat/>
    <w:rsid w:val="00C9322F"/>
    <w:pPr>
      <w:framePr w:wrap="around"/>
      <w:numPr>
        <w:ilvl w:val="2"/>
      </w:numPr>
    </w:pPr>
    <w:rPr>
      <w:rFonts w:cs="Arial"/>
      <w:szCs w:val="22"/>
    </w:rPr>
  </w:style>
  <w:style w:type="paragraph" w:customStyle="1" w:styleId="Default">
    <w:name w:val="Default"/>
    <w:rsid w:val="00B01E44"/>
    <w:pPr>
      <w:autoSpaceDE w:val="0"/>
      <w:autoSpaceDN w:val="0"/>
      <w:adjustRightInd w:val="0"/>
    </w:pPr>
    <w:rPr>
      <w:rFonts w:ascii="Arial" w:hAnsi="Arial" w:cs="Arial"/>
      <w:color w:val="000000"/>
      <w:sz w:val="24"/>
      <w:szCs w:val="24"/>
      <w:lang w:val="en-GB" w:bidi="ar-SA"/>
    </w:rPr>
  </w:style>
  <w:style w:type="paragraph" w:customStyle="1" w:styleId="Normalnumbered">
    <w:name w:val="Normal numbered"/>
    <w:basedOn w:val="Normal"/>
    <w:link w:val="NormalnumberedChar"/>
    <w:qFormat/>
    <w:rsid w:val="001175D6"/>
    <w:pPr>
      <w:numPr>
        <w:numId w:val="10"/>
      </w:numPr>
      <w:tabs>
        <w:tab w:val="clear" w:pos="567"/>
        <w:tab w:val="clear" w:pos="1134"/>
        <w:tab w:val="clear" w:pos="1701"/>
        <w:tab w:val="clear" w:pos="2268"/>
        <w:tab w:val="clear" w:pos="2835"/>
        <w:tab w:val="left" w:pos="562"/>
      </w:tabs>
      <w:spacing w:before="240" w:after="0"/>
      <w:jc w:val="both"/>
    </w:pPr>
    <w:rPr>
      <w:rFonts w:cs="Arial"/>
      <w:szCs w:val="22"/>
      <w:lang w:eastAsia="en-US"/>
    </w:rPr>
  </w:style>
  <w:style w:type="character" w:customStyle="1" w:styleId="NormalnumberedChar">
    <w:name w:val="Normal numbered Char"/>
    <w:basedOn w:val="DefaultParagraphFont"/>
    <w:link w:val="Normalnumbered"/>
    <w:rsid w:val="001175D6"/>
    <w:rPr>
      <w:rFonts w:ascii="Arial" w:eastAsia="Times New Roman" w:hAnsi="Arial" w:cs="Arial"/>
      <w:sz w:val="22"/>
      <w:szCs w:val="22"/>
      <w:lang w:val="en-GB" w:eastAsia="en-US" w:bidi="ar-SA"/>
    </w:rPr>
  </w:style>
  <w:style w:type="character" w:styleId="CommentReference">
    <w:name w:val="annotation reference"/>
    <w:basedOn w:val="DefaultParagraphFont"/>
    <w:semiHidden/>
    <w:unhideWhenUsed/>
    <w:rsid w:val="007D1E86"/>
    <w:rPr>
      <w:sz w:val="16"/>
      <w:szCs w:val="16"/>
    </w:rPr>
  </w:style>
  <w:style w:type="paragraph" w:styleId="CommentText">
    <w:name w:val="annotation text"/>
    <w:basedOn w:val="Normal"/>
    <w:link w:val="CommentTextChar"/>
    <w:semiHidden/>
    <w:unhideWhenUsed/>
    <w:rsid w:val="007D1E86"/>
    <w:rPr>
      <w:sz w:val="20"/>
    </w:rPr>
  </w:style>
  <w:style w:type="character" w:customStyle="1" w:styleId="CommentTextChar">
    <w:name w:val="Comment Text Char"/>
    <w:basedOn w:val="DefaultParagraphFont"/>
    <w:link w:val="CommentText"/>
    <w:semiHidden/>
    <w:rsid w:val="007D1E86"/>
    <w:rPr>
      <w:rFonts w:ascii="Arial" w:eastAsia="Times New Roman" w:hAnsi="Arial"/>
      <w:lang w:val="en-GB" w:eastAsia="en-GB" w:bidi="ar-SA"/>
    </w:rPr>
  </w:style>
  <w:style w:type="paragraph" w:styleId="CommentSubject">
    <w:name w:val="annotation subject"/>
    <w:basedOn w:val="CommentText"/>
    <w:next w:val="CommentText"/>
    <w:link w:val="CommentSubjectChar"/>
    <w:semiHidden/>
    <w:unhideWhenUsed/>
    <w:rsid w:val="007D1E86"/>
    <w:rPr>
      <w:b/>
      <w:bCs/>
    </w:rPr>
  </w:style>
  <w:style w:type="character" w:customStyle="1" w:styleId="CommentSubjectChar">
    <w:name w:val="Comment Subject Char"/>
    <w:basedOn w:val="CommentTextChar"/>
    <w:link w:val="CommentSubject"/>
    <w:semiHidden/>
    <w:rsid w:val="007D1E86"/>
    <w:rPr>
      <w:rFonts w:ascii="Arial" w:eastAsia="Times New Roman" w:hAnsi="Arial"/>
      <w:b/>
      <w:bCs/>
      <w:lang w:val="en-GB" w:eastAsia="en-GB" w:bidi="ar-SA"/>
    </w:rPr>
  </w:style>
  <w:style w:type="character" w:customStyle="1" w:styleId="TextLevel1Char">
    <w:name w:val="Text Level 1 Char"/>
    <w:link w:val="TextLevel1"/>
    <w:locked/>
    <w:rsid w:val="00D448F9"/>
    <w:rPr>
      <w:rFonts w:ascii="Arial" w:hAnsi="Arial" w:cs="Arial"/>
    </w:rPr>
  </w:style>
  <w:style w:type="paragraph" w:customStyle="1" w:styleId="TextLevel1">
    <w:name w:val="Text Level 1"/>
    <w:basedOn w:val="Normal"/>
    <w:link w:val="TextLevel1Char"/>
    <w:qFormat/>
    <w:rsid w:val="00D448F9"/>
    <w:pPr>
      <w:numPr>
        <w:numId w:val="30"/>
      </w:numPr>
      <w:tabs>
        <w:tab w:val="clear" w:pos="1134"/>
        <w:tab w:val="clear" w:pos="1701"/>
        <w:tab w:val="clear" w:pos="2268"/>
        <w:tab w:val="clear" w:pos="2835"/>
      </w:tabs>
      <w:spacing w:before="240" w:after="0"/>
      <w:jc w:val="both"/>
    </w:pPr>
    <w:rPr>
      <w:rFonts w:eastAsia="Calibri" w:cs="Arial"/>
      <w:sz w:val="20"/>
      <w:lang w:val="en-US"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7378">
      <w:bodyDiv w:val="1"/>
      <w:marLeft w:val="0"/>
      <w:marRight w:val="0"/>
      <w:marTop w:val="0"/>
      <w:marBottom w:val="0"/>
      <w:divBdr>
        <w:top w:val="none" w:sz="0" w:space="0" w:color="auto"/>
        <w:left w:val="none" w:sz="0" w:space="0" w:color="auto"/>
        <w:bottom w:val="none" w:sz="0" w:space="0" w:color="auto"/>
        <w:right w:val="none" w:sz="0" w:space="0" w:color="auto"/>
      </w:divBdr>
    </w:div>
    <w:div w:id="243495191">
      <w:bodyDiv w:val="1"/>
      <w:marLeft w:val="0"/>
      <w:marRight w:val="0"/>
      <w:marTop w:val="0"/>
      <w:marBottom w:val="0"/>
      <w:divBdr>
        <w:top w:val="none" w:sz="0" w:space="0" w:color="auto"/>
        <w:left w:val="none" w:sz="0" w:space="0" w:color="auto"/>
        <w:bottom w:val="none" w:sz="0" w:space="0" w:color="auto"/>
        <w:right w:val="none" w:sz="0" w:space="0" w:color="auto"/>
      </w:divBdr>
    </w:div>
    <w:div w:id="337541858">
      <w:bodyDiv w:val="1"/>
      <w:marLeft w:val="0"/>
      <w:marRight w:val="0"/>
      <w:marTop w:val="0"/>
      <w:marBottom w:val="0"/>
      <w:divBdr>
        <w:top w:val="none" w:sz="0" w:space="0" w:color="auto"/>
        <w:left w:val="none" w:sz="0" w:space="0" w:color="auto"/>
        <w:bottom w:val="none" w:sz="0" w:space="0" w:color="auto"/>
        <w:right w:val="none" w:sz="0" w:space="0" w:color="auto"/>
      </w:divBdr>
    </w:div>
    <w:div w:id="390538133">
      <w:bodyDiv w:val="1"/>
      <w:marLeft w:val="0"/>
      <w:marRight w:val="0"/>
      <w:marTop w:val="0"/>
      <w:marBottom w:val="0"/>
      <w:divBdr>
        <w:top w:val="none" w:sz="0" w:space="0" w:color="auto"/>
        <w:left w:val="none" w:sz="0" w:space="0" w:color="auto"/>
        <w:bottom w:val="none" w:sz="0" w:space="0" w:color="auto"/>
        <w:right w:val="none" w:sz="0" w:space="0" w:color="auto"/>
      </w:divBdr>
    </w:div>
    <w:div w:id="395738187">
      <w:bodyDiv w:val="1"/>
      <w:marLeft w:val="0"/>
      <w:marRight w:val="0"/>
      <w:marTop w:val="0"/>
      <w:marBottom w:val="0"/>
      <w:divBdr>
        <w:top w:val="none" w:sz="0" w:space="0" w:color="auto"/>
        <w:left w:val="none" w:sz="0" w:space="0" w:color="auto"/>
        <w:bottom w:val="none" w:sz="0" w:space="0" w:color="auto"/>
        <w:right w:val="none" w:sz="0" w:space="0" w:color="auto"/>
      </w:divBdr>
    </w:div>
    <w:div w:id="660542599">
      <w:bodyDiv w:val="1"/>
      <w:marLeft w:val="0"/>
      <w:marRight w:val="0"/>
      <w:marTop w:val="0"/>
      <w:marBottom w:val="0"/>
      <w:divBdr>
        <w:top w:val="none" w:sz="0" w:space="0" w:color="auto"/>
        <w:left w:val="none" w:sz="0" w:space="0" w:color="auto"/>
        <w:bottom w:val="none" w:sz="0" w:space="0" w:color="auto"/>
        <w:right w:val="none" w:sz="0" w:space="0" w:color="auto"/>
      </w:divBdr>
    </w:div>
    <w:div w:id="677342372">
      <w:bodyDiv w:val="1"/>
      <w:marLeft w:val="0"/>
      <w:marRight w:val="0"/>
      <w:marTop w:val="0"/>
      <w:marBottom w:val="0"/>
      <w:divBdr>
        <w:top w:val="none" w:sz="0" w:space="0" w:color="auto"/>
        <w:left w:val="none" w:sz="0" w:space="0" w:color="auto"/>
        <w:bottom w:val="none" w:sz="0" w:space="0" w:color="auto"/>
        <w:right w:val="none" w:sz="0" w:space="0" w:color="auto"/>
      </w:divBdr>
    </w:div>
    <w:div w:id="698623371">
      <w:bodyDiv w:val="1"/>
      <w:marLeft w:val="0"/>
      <w:marRight w:val="0"/>
      <w:marTop w:val="0"/>
      <w:marBottom w:val="0"/>
      <w:divBdr>
        <w:top w:val="none" w:sz="0" w:space="0" w:color="auto"/>
        <w:left w:val="none" w:sz="0" w:space="0" w:color="auto"/>
        <w:bottom w:val="none" w:sz="0" w:space="0" w:color="auto"/>
        <w:right w:val="none" w:sz="0" w:space="0" w:color="auto"/>
      </w:divBdr>
    </w:div>
    <w:div w:id="704523547">
      <w:bodyDiv w:val="1"/>
      <w:marLeft w:val="0"/>
      <w:marRight w:val="0"/>
      <w:marTop w:val="0"/>
      <w:marBottom w:val="0"/>
      <w:divBdr>
        <w:top w:val="none" w:sz="0" w:space="0" w:color="auto"/>
        <w:left w:val="none" w:sz="0" w:space="0" w:color="auto"/>
        <w:bottom w:val="none" w:sz="0" w:space="0" w:color="auto"/>
        <w:right w:val="none" w:sz="0" w:space="0" w:color="auto"/>
      </w:divBdr>
    </w:div>
    <w:div w:id="715661156">
      <w:bodyDiv w:val="1"/>
      <w:marLeft w:val="0"/>
      <w:marRight w:val="0"/>
      <w:marTop w:val="0"/>
      <w:marBottom w:val="0"/>
      <w:divBdr>
        <w:top w:val="none" w:sz="0" w:space="0" w:color="auto"/>
        <w:left w:val="none" w:sz="0" w:space="0" w:color="auto"/>
        <w:bottom w:val="none" w:sz="0" w:space="0" w:color="auto"/>
        <w:right w:val="none" w:sz="0" w:space="0" w:color="auto"/>
      </w:divBdr>
    </w:div>
    <w:div w:id="875970164">
      <w:bodyDiv w:val="1"/>
      <w:marLeft w:val="0"/>
      <w:marRight w:val="0"/>
      <w:marTop w:val="0"/>
      <w:marBottom w:val="0"/>
      <w:divBdr>
        <w:top w:val="none" w:sz="0" w:space="0" w:color="auto"/>
        <w:left w:val="none" w:sz="0" w:space="0" w:color="auto"/>
        <w:bottom w:val="none" w:sz="0" w:space="0" w:color="auto"/>
        <w:right w:val="none" w:sz="0" w:space="0" w:color="auto"/>
      </w:divBdr>
    </w:div>
    <w:div w:id="1062289097">
      <w:bodyDiv w:val="1"/>
      <w:marLeft w:val="0"/>
      <w:marRight w:val="0"/>
      <w:marTop w:val="0"/>
      <w:marBottom w:val="0"/>
      <w:divBdr>
        <w:top w:val="none" w:sz="0" w:space="0" w:color="auto"/>
        <w:left w:val="none" w:sz="0" w:space="0" w:color="auto"/>
        <w:bottom w:val="none" w:sz="0" w:space="0" w:color="auto"/>
        <w:right w:val="none" w:sz="0" w:space="0" w:color="auto"/>
      </w:divBdr>
    </w:div>
    <w:div w:id="1168908680">
      <w:bodyDiv w:val="1"/>
      <w:marLeft w:val="0"/>
      <w:marRight w:val="0"/>
      <w:marTop w:val="0"/>
      <w:marBottom w:val="0"/>
      <w:divBdr>
        <w:top w:val="none" w:sz="0" w:space="0" w:color="auto"/>
        <w:left w:val="none" w:sz="0" w:space="0" w:color="auto"/>
        <w:bottom w:val="none" w:sz="0" w:space="0" w:color="auto"/>
        <w:right w:val="none" w:sz="0" w:space="0" w:color="auto"/>
      </w:divBdr>
    </w:div>
    <w:div w:id="1212766147">
      <w:bodyDiv w:val="1"/>
      <w:marLeft w:val="0"/>
      <w:marRight w:val="0"/>
      <w:marTop w:val="0"/>
      <w:marBottom w:val="0"/>
      <w:divBdr>
        <w:top w:val="none" w:sz="0" w:space="0" w:color="auto"/>
        <w:left w:val="none" w:sz="0" w:space="0" w:color="auto"/>
        <w:bottom w:val="none" w:sz="0" w:space="0" w:color="auto"/>
        <w:right w:val="none" w:sz="0" w:space="0" w:color="auto"/>
      </w:divBdr>
    </w:div>
    <w:div w:id="1219897007">
      <w:bodyDiv w:val="1"/>
      <w:marLeft w:val="0"/>
      <w:marRight w:val="0"/>
      <w:marTop w:val="0"/>
      <w:marBottom w:val="0"/>
      <w:divBdr>
        <w:top w:val="none" w:sz="0" w:space="0" w:color="auto"/>
        <w:left w:val="none" w:sz="0" w:space="0" w:color="auto"/>
        <w:bottom w:val="none" w:sz="0" w:space="0" w:color="auto"/>
        <w:right w:val="none" w:sz="0" w:space="0" w:color="auto"/>
      </w:divBdr>
    </w:div>
    <w:div w:id="1225215965">
      <w:bodyDiv w:val="1"/>
      <w:marLeft w:val="0"/>
      <w:marRight w:val="0"/>
      <w:marTop w:val="0"/>
      <w:marBottom w:val="0"/>
      <w:divBdr>
        <w:top w:val="none" w:sz="0" w:space="0" w:color="auto"/>
        <w:left w:val="none" w:sz="0" w:space="0" w:color="auto"/>
        <w:bottom w:val="none" w:sz="0" w:space="0" w:color="auto"/>
        <w:right w:val="none" w:sz="0" w:space="0" w:color="auto"/>
      </w:divBdr>
    </w:div>
    <w:div w:id="1364790973">
      <w:bodyDiv w:val="1"/>
      <w:marLeft w:val="0"/>
      <w:marRight w:val="0"/>
      <w:marTop w:val="0"/>
      <w:marBottom w:val="0"/>
      <w:divBdr>
        <w:top w:val="none" w:sz="0" w:space="0" w:color="auto"/>
        <w:left w:val="none" w:sz="0" w:space="0" w:color="auto"/>
        <w:bottom w:val="none" w:sz="0" w:space="0" w:color="auto"/>
        <w:right w:val="none" w:sz="0" w:space="0" w:color="auto"/>
      </w:divBdr>
    </w:div>
    <w:div w:id="1855611005">
      <w:bodyDiv w:val="1"/>
      <w:marLeft w:val="0"/>
      <w:marRight w:val="0"/>
      <w:marTop w:val="0"/>
      <w:marBottom w:val="0"/>
      <w:divBdr>
        <w:top w:val="none" w:sz="0" w:space="0" w:color="auto"/>
        <w:left w:val="none" w:sz="0" w:space="0" w:color="auto"/>
        <w:bottom w:val="none" w:sz="0" w:space="0" w:color="auto"/>
        <w:right w:val="none" w:sz="0" w:space="0" w:color="auto"/>
      </w:divBdr>
    </w:div>
    <w:div w:id="21387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mmentletter@efrag.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roject Document" ma:contentTypeID="0x010100424757986E2540868CAE723C1A3093F10100C5C55907A2DA2D49B1399116D304AB9A" ma:contentTypeVersion="21" ma:contentTypeDescription="Create a new document." ma:contentTypeScope="" ma:versionID="ae2a1357100f76029b3886df03c66e42">
  <xsd:schema xmlns:xsd="http://www.w3.org/2001/XMLSchema" xmlns:xs="http://www.w3.org/2001/XMLSchema" xmlns:p="http://schemas.microsoft.com/office/2006/metadata/properties" xmlns:ns2="9bc17653-fc4f-4043-ad3b-134743de0300" xmlns:ns3="c8cebab1-020c-4b5a-8718-fcc82b965974" targetNamespace="http://schemas.microsoft.com/office/2006/metadata/properties" ma:root="true" ma:fieldsID="94322d232c2cb67f1a224c953c2c28b1" ns2:_="" ns3:_="">
    <xsd:import namespace="9bc17653-fc4f-4043-ad3b-134743de0300"/>
    <xsd:import namespace="c8cebab1-020c-4b5a-8718-fcc82b965974"/>
    <xsd:element name="properties">
      <xsd:complexType>
        <xsd:sequence>
          <xsd:element name="documentManagement">
            <xsd:complexType>
              <xsd:all>
                <xsd:element ref="ns2:ge496a40d5c44658bad5a6d98308f1ba" minOccurs="0"/>
                <xsd:element ref="ns2:TaxCatchAll" minOccurs="0"/>
                <xsd:element ref="ns2:TaxCatchAllLabel" minOccurs="0"/>
                <xsd:element ref="ns2:efclDocumentDescription" minOccurs="0"/>
                <xsd:element ref="ns2:efclOriginalListId" minOccurs="0"/>
                <xsd:element ref="ns2:efclOriginalWebId" minOccurs="0"/>
                <xsd:element ref="ns2:efclProjectId" minOccurs="0"/>
                <xsd:element ref="ns2:p59a4e4f2bd147658de67f2316c08396" minOccurs="0"/>
                <xsd:element ref="ns2:i09da1fbf7d14ea9973a5584dd477f13" minOccurs="0"/>
                <xsd:element ref="ns2:e13db7feed7b463daca4211c55acd0c4" minOccurs="0"/>
                <xsd:element ref="ns2:efclPublishedToMeeting" minOccurs="0"/>
                <xsd:element ref="ns2:efclPublishedToWebsite" minOccurs="0"/>
                <xsd:element ref="ns2:efclPublishedTo" minOccurs="0"/>
                <xsd:element ref="ns2:efclOriginalItemId" minOccurs="0"/>
                <xsd:element ref="ns2:SharedWithUsers" minOccurs="0"/>
                <xsd:element ref="ns2:SharedWithDetails" minOccurs="0"/>
                <xsd:element ref="ns3:MediaServiceMetadata" minOccurs="0"/>
                <xsd:element ref="ns3:MediaServiceFastMetadata" minOccurs="0"/>
                <xsd:element ref="ns3:u9f4"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7653-fc4f-4043-ad3b-134743de0300" elementFormDefault="qualified">
    <xsd:import namespace="http://schemas.microsoft.com/office/2006/documentManagement/types"/>
    <xsd:import namespace="http://schemas.microsoft.com/office/infopath/2007/PartnerControls"/>
    <xsd:element name="ge496a40d5c44658bad5a6d98308f1ba" ma:index="8" nillable="true" ma:taxonomy="true" ma:internalName="ge496a40d5c44658bad5a6d98308f1ba" ma:taxonomyFieldName="efclDocumentType" ma:displayName="Document Type" ma:fieldId="{0e496a40-d5c4-4658-bad5-a6d98308f1ba}" ma:sspId="b5354ee9-1167-4e6c-842d-e3226f29bc49" ma:termSetId="4a3b34fd-4214-4cbe-a4ca-75cc788de7b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6703ae1-ce32-4f29-be92-8113fbd7fd87}" ma:internalName="TaxCatchAll" ma:showField="CatchAllData"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6703ae1-ce32-4f29-be92-8113fbd7fd87}" ma:internalName="TaxCatchAllLabel" ma:readOnly="true" ma:showField="CatchAllDataLabel" ma:web="9bc17653-fc4f-4043-ad3b-134743de0300">
      <xsd:complexType>
        <xsd:complexContent>
          <xsd:extension base="dms:MultiChoiceLookup">
            <xsd:sequence>
              <xsd:element name="Value" type="dms:Lookup" maxOccurs="unbounded" minOccurs="0" nillable="true"/>
            </xsd:sequence>
          </xsd:extension>
        </xsd:complexContent>
      </xsd:complexType>
    </xsd:element>
    <xsd:element name="efclDocumentDescription" ma:index="12" nillable="true" ma:displayName="Document Description" ma:internalName="efclDocumentDescription">
      <xsd:simpleType>
        <xsd:restriction base="dms:Note">
          <xsd:maxLength value="255"/>
        </xsd:restriction>
      </xsd:simpleType>
    </xsd:element>
    <xsd:element name="efclOriginalListId" ma:index="13" nillable="true" ma:displayName="Original List ID" ma:internalName="efclOriginalListId">
      <xsd:simpleType>
        <xsd:restriction base="dms:Text"/>
      </xsd:simpleType>
    </xsd:element>
    <xsd:element name="efclOriginalWebId" ma:index="14" nillable="true" ma:displayName="Original Web ID" ma:internalName="efclOriginalWebId">
      <xsd:simpleType>
        <xsd:restriction base="dms:Text"/>
      </xsd:simpleType>
    </xsd:element>
    <xsd:element name="efclProjectId" ma:index="15" nillable="true" ma:displayName="Project ID" ma:indexed="true" ma:internalName="efclProjectId">
      <xsd:simpleType>
        <xsd:restriction base="dms:Text"/>
      </xsd:simpleType>
    </xsd:element>
    <xsd:element name="p59a4e4f2bd147658de67f2316c08396" ma:index="16" nillable="true" ma:taxonomy="true" ma:internalName="p59a4e4f2bd147658de67f2316c08396" ma:taxonomyFieldName="efclTopics" ma:displayName="Topics" ma:readOnly="false" ma:fieldId="{959a4e4f-2bd1-4765-8de6-7f2316c08396}" ma:taxonomyMulti="true" ma:sspId="b5354ee9-1167-4e6c-842d-e3226f29bc49" ma:termSetId="319aa627-c73c-4f98-a92f-bfbccc408535" ma:anchorId="00000000-0000-0000-0000-000000000000" ma:open="false" ma:isKeyword="false">
      <xsd:complexType>
        <xsd:sequence>
          <xsd:element ref="pc:Terms" minOccurs="0" maxOccurs="1"/>
        </xsd:sequence>
      </xsd:complexType>
    </xsd:element>
    <xsd:element name="i09da1fbf7d14ea9973a5584dd477f13" ma:index="18" nillable="true" ma:taxonomy="true" ma:internalName="i09da1fbf7d14ea9973a5584dd477f13" ma:taxonomyFieldName="efclStandards" ma:displayName="Standards" ma:readOnly="false" ma:fieldId="{209da1fb-f7d1-4ea9-973a-5584dd477f13}" ma:taxonomyMulti="true" ma:sspId="b5354ee9-1167-4e6c-842d-e3226f29bc49" ma:termSetId="fde5f5a0-e3e9-40ac-9599-ce094e9f11cc" ma:anchorId="00000000-0000-0000-0000-000000000000" ma:open="false" ma:isKeyword="false">
      <xsd:complexType>
        <xsd:sequence>
          <xsd:element ref="pc:Terms" minOccurs="0" maxOccurs="1"/>
        </xsd:sequence>
      </xsd:complexType>
    </xsd:element>
    <xsd:element name="e13db7feed7b463daca4211c55acd0c4" ma:index="20" nillable="true" ma:taxonomy="true" ma:internalName="e13db7feed7b463daca4211c55acd0c4" ma:taxonomyFieldName="efclProjectStage" ma:displayName="Project Stage" ma:fieldId="{e13db7fe-ed7b-463d-aca4-211c55acd0c4}" ma:sspId="b5354ee9-1167-4e6c-842d-e3226f29bc49" ma:termSetId="9b49bf5b-71f9-4ba2-853c-72048cccbf8f" ma:anchorId="00000000-0000-0000-0000-000000000000" ma:open="false" ma:isKeyword="false">
      <xsd:complexType>
        <xsd:sequence>
          <xsd:element ref="pc:Terms" minOccurs="0" maxOccurs="1"/>
        </xsd:sequence>
      </xsd:complexType>
    </xsd:element>
    <xsd:element name="efclPublishedToMeeting" ma:index="22" nillable="true" ma:displayName="Published To meeting?" ma:hidden="true" ma:internalName="efclPublishedToMeeting" ma:readOnly="false">
      <xsd:simpleType>
        <xsd:restriction base="dms:Boolean"/>
      </xsd:simpleType>
    </xsd:element>
    <xsd:element name="efclPublishedToWebsite" ma:index="23" nillable="true" ma:displayName="Published To website?" ma:hidden="true" ma:internalName="efclPublishedToWebsite" ma:readOnly="false">
      <xsd:simpleType>
        <xsd:restriction base="dms:Boolean"/>
      </xsd:simpleType>
    </xsd:element>
    <xsd:element name="efclPublishedTo" ma:index="24" nillable="true" ma:displayName="Published To" ma:internalName="efclPublishedTo">
      <xsd:complexType>
        <xsd:complexContent>
          <xsd:extension base="dms:URL">
            <xsd:sequence>
              <xsd:element name="Url" type="dms:ValidUrl" minOccurs="0" nillable="true"/>
              <xsd:element name="Description" type="xsd:string" nillable="true"/>
            </xsd:sequence>
          </xsd:extension>
        </xsd:complexContent>
      </xsd:complexType>
    </xsd:element>
    <xsd:element name="efclOriginalItemId" ma:index="25" nillable="true" ma:displayName="Original Item ID" ma:internalName="efclOriginalItemId">
      <xsd:simpleType>
        <xsd:restriction base="dms:Number"/>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ebab1-020c-4b5a-8718-fcc82b965974"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u9f4" ma:index="30" nillable="true" ma:displayName="Date and Time" ma:internalName="u9f4">
      <xsd:simpleType>
        <xsd:restriction base="dms:DateTim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clPublishedToWebsite xmlns="9bc17653-fc4f-4043-ad3b-134743de0300">true</efclPublishedToWebsite>
    <i09da1fbf7d14ea9973a5584dd477f13 xmlns="9bc17653-fc4f-4043-ad3b-134743de0300">
      <Terms xmlns="http://schemas.microsoft.com/office/infopath/2007/PartnerControls"/>
    </i09da1fbf7d14ea9973a5584dd477f13>
    <efclPublishedTo xmlns="9bc17653-fc4f-4043-ad3b-134743de0300">
      <Url xsi:nil="true"/>
      <Description xsi:nil="true"/>
    </efclPublishedTo>
    <ge496a40d5c44658bad5a6d98308f1ba xmlns="9bc17653-fc4f-4043-ad3b-134743de0300">
      <Terms xmlns="http://schemas.microsoft.com/office/infopath/2007/PartnerControls">
        <TermInfo xmlns="http://schemas.microsoft.com/office/infopath/2007/PartnerControls">
          <TermName xmlns="http://schemas.microsoft.com/office/infopath/2007/PartnerControls">Draft endorsement advice</TermName>
          <TermId xmlns="http://schemas.microsoft.com/office/infopath/2007/PartnerControls">0c504c2e-212e-4b95-83ab-7dce8db4408e</TermId>
        </TermInfo>
      </Terms>
    </ge496a40d5c44658bad5a6d98308f1ba>
    <efclDocumentDescription xmlns="9bc17653-fc4f-4043-ad3b-134743de0300" xsi:nil="true"/>
    <p59a4e4f2bd147658de67f2316c08396 xmlns="9bc17653-fc4f-4043-ad3b-134743de0300">
      <Terms xmlns="http://schemas.microsoft.com/office/infopath/2007/PartnerControls"/>
    </p59a4e4f2bd147658de67f2316c08396>
    <TaxCatchAll xmlns="9bc17653-fc4f-4043-ad3b-134743de0300">
      <Value>182</Value>
      <Value>183</Value>
    </TaxCatchAll>
    <efclPublishedToMeeting xmlns="9bc17653-fc4f-4043-ad3b-134743de0300" xsi:nil="true"/>
    <efclProjectId xmlns="9bc17653-fc4f-4043-ad3b-134743de0300">301</efclProjectId>
    <e13db7feed7b463daca4211c55acd0c4 xmlns="9bc17653-fc4f-4043-ad3b-134743de0300">
      <Terms xmlns="http://schemas.microsoft.com/office/infopath/2007/PartnerControls">
        <TermInfo xmlns="http://schemas.microsoft.com/office/infopath/2007/PartnerControls">
          <TermName xmlns="http://schemas.microsoft.com/office/infopath/2007/PartnerControls">Endorsement consultation</TermName>
          <TermId xmlns="http://schemas.microsoft.com/office/infopath/2007/PartnerControls">c53d4a94-0de6-4ac0-aca1-ffd5e54999f9</TermId>
        </TermInfo>
      </Terms>
    </e13db7feed7b463daca4211c55acd0c4>
    <efclOriginalWebId xmlns="9bc17653-fc4f-4043-ad3b-134743de0300">cac140b1-0903-4a2f-bc8e-14fcc9818269</efclOriginalWebId>
    <efclOriginalListId xmlns="9bc17653-fc4f-4043-ad3b-134743de0300">c9aaa2d7-cfed-4828-a26d-963e6b64da13</efclOriginalListId>
    <efclOriginalItemId xmlns="9bc17653-fc4f-4043-ad3b-134743de0300">8</efclOriginalItemId>
    <u9f4 xmlns="c8cebab1-020c-4b5a-8718-fcc82b965974" xsi:nil="true"/>
  </documentManagement>
</p:properties>
</file>

<file path=customXml/itemProps1.xml><?xml version="1.0" encoding="utf-8"?>
<ds:datastoreItem xmlns:ds="http://schemas.openxmlformats.org/officeDocument/2006/customXml" ds:itemID="{14F8DA14-DDCB-4441-9C12-60779AC3E0A7}">
  <ds:schemaRefs>
    <ds:schemaRef ds:uri="http://schemas.openxmlformats.org/officeDocument/2006/bibliography"/>
  </ds:schemaRefs>
</ds:datastoreItem>
</file>

<file path=customXml/itemProps2.xml><?xml version="1.0" encoding="utf-8"?>
<ds:datastoreItem xmlns:ds="http://schemas.openxmlformats.org/officeDocument/2006/customXml" ds:itemID="{4D9E2587-7431-4318-A98B-AB3E43419FC1}">
  <ds:schemaRefs>
    <ds:schemaRef ds:uri="http://schemas.openxmlformats.org/officeDocument/2006/bibliography"/>
  </ds:schemaRefs>
</ds:datastoreItem>
</file>

<file path=customXml/itemProps3.xml><?xml version="1.0" encoding="utf-8"?>
<ds:datastoreItem xmlns:ds="http://schemas.openxmlformats.org/officeDocument/2006/customXml" ds:itemID="{E6486385-7F10-4879-A2AC-440D2471717C}"/>
</file>

<file path=customXml/itemProps4.xml><?xml version="1.0" encoding="utf-8"?>
<ds:datastoreItem xmlns:ds="http://schemas.openxmlformats.org/officeDocument/2006/customXml" ds:itemID="{12820706-A0FA-4F43-8669-379404A6CD49}"/>
</file>

<file path=customXml/itemProps5.xml><?xml version="1.0" encoding="utf-8"?>
<ds:datastoreItem xmlns:ds="http://schemas.openxmlformats.org/officeDocument/2006/customXml" ds:itemID="{6F0E6898-F992-4B4A-BADF-15921E6289AB}"/>
</file>

<file path=docProps/app.xml><?xml version="1.0" encoding="utf-8"?>
<Properties xmlns="http://schemas.openxmlformats.org/officeDocument/2006/extended-properties" xmlns:vt="http://schemas.openxmlformats.org/officeDocument/2006/docPropsVTypes">
  <Template>Normal</Template>
  <TotalTime>77</TotalTime>
  <Pages>14</Pages>
  <Words>4846</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32405</CharactersWithSpaces>
  <SharedDoc>false</SharedDoc>
  <HLinks>
    <vt:vector size="6" baseType="variant">
      <vt:variant>
        <vt:i4>6684736</vt:i4>
      </vt:variant>
      <vt:variant>
        <vt:i4>0</vt:i4>
      </vt:variant>
      <vt:variant>
        <vt:i4>0</vt:i4>
      </vt:variant>
      <vt:variant>
        <vt:i4>5</vt:i4>
      </vt:variant>
      <vt:variant>
        <vt:lpwstr>mailto:commentletter@efrag.org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Filipe Alves</dc:creator>
  <cp:lastModifiedBy>Filipe Alves</cp:lastModifiedBy>
  <cp:revision>8</cp:revision>
  <cp:lastPrinted>2014-10-23T08:58:00Z</cp:lastPrinted>
  <dcterms:created xsi:type="dcterms:W3CDTF">2014-10-22T21:38:00Z</dcterms:created>
  <dcterms:modified xsi:type="dcterms:W3CDTF">2014-10-23T09:16:00Z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0x010100424757986E2540868CAE723C1A3093F10100C5C55907A2DA2D49B1399116D304AB9A</vt:lpwstr>
  </property>
  <property fmtid="{D5CDD505-2E9C-101B-9397-08002B2CF9AE}" pid="3" name="efclTopics">
    <vt:lpwstr/>
  </property>
  <property fmtid="{D5CDD505-2E9C-101B-9397-08002B2CF9AE}" pid="4" name="efclDocumentType">
    <vt:lpwstr>183;#Draft endorsement advice|0c504c2e-212e-4b95-83ab-7dce8db4408e</vt:lpwstr>
  </property>
  <property fmtid="{D5CDD505-2E9C-101B-9397-08002B2CF9AE}" pid="5" name="efclProjectStage">
    <vt:lpwstr>182;#Endorsement consultation|c53d4a94-0de6-4ac0-aca1-ffd5e54999f9</vt:lpwstr>
  </property>
  <property fmtid="{D5CDD505-2E9C-101B-9397-08002B2CF9AE}" pid="6" name="efclStandards">
    <vt:lpwstr/>
  </property>
</Properties>
</file>